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napToGrid w:val="0"/>
        <w:spacing w:line="288" w:lineRule="auto"/>
        <w:rPr>
          <w:rFonts w:ascii="宋体" w:hAnsi="宋体" w:eastAsia="宋体" w:cs="宋体"/>
          <w:b/>
          <w:bCs/>
          <w:color w:val="000000"/>
          <w:sz w:val="21"/>
          <w:szCs w:val="21"/>
        </w:rPr>
      </w:pPr>
    </w:p>
    <w:p>
      <w:pPr>
        <w:snapToGrid w:val="0"/>
        <w:spacing w:line="288" w:lineRule="auto"/>
        <w:rPr>
          <w:rFonts w:hint="default" w:ascii="宋体" w:hAnsi="宋体" w:eastAsia="宋体" w:cs="宋体"/>
          <w:color w:val="000000"/>
          <w:sz w:val="21"/>
          <w:szCs w:val="21"/>
          <w:lang w:val="en-US" w:eastAsia="zh-CN"/>
        </w:rPr>
      </w:pPr>
      <w:r>
        <w:rPr>
          <w:rFonts w:hint="eastAsia" w:ascii="宋体" w:hAnsi="宋体" w:eastAsia="宋体" w:cs="宋体"/>
          <w:b/>
          <w:bCs/>
          <w:color w:val="000000"/>
          <w:sz w:val="21"/>
          <w:szCs w:val="21"/>
        </w:rPr>
        <w:t>[类  型]</w:t>
      </w:r>
      <w:r>
        <w:rPr>
          <w:rFonts w:hint="eastAsia" w:ascii="宋体" w:hAnsi="宋体" w:eastAsia="宋体" w:cs="宋体"/>
          <w:color w:val="000000"/>
          <w:sz w:val="21"/>
          <w:szCs w:val="21"/>
          <w:lang w:val="en-US" w:eastAsia="zh-CN"/>
        </w:rPr>
        <w:t>技术工艺</w:t>
      </w:r>
    </w:p>
    <w:p>
      <w:pPr>
        <w:snapToGrid w:val="0"/>
        <w:spacing w:line="288" w:lineRule="auto"/>
        <w:rPr>
          <w:rFonts w:hint="eastAsia" w:ascii="宋体" w:hAnsi="宋体" w:eastAsia="宋体" w:cs="宋体"/>
          <w:color w:val="000000"/>
          <w:sz w:val="21"/>
          <w:szCs w:val="21"/>
          <w:lang w:eastAsia="zh-CN"/>
        </w:rPr>
      </w:pPr>
      <w:r>
        <w:rPr>
          <w:rFonts w:hint="eastAsia" w:ascii="宋体" w:hAnsi="宋体" w:eastAsia="宋体" w:cs="宋体"/>
          <w:b/>
          <w:bCs/>
          <w:color w:val="000000"/>
          <w:sz w:val="21"/>
          <w:szCs w:val="21"/>
        </w:rPr>
        <w:t>[关键词]</w:t>
      </w:r>
      <w:r>
        <w:rPr>
          <w:rFonts w:hint="eastAsia" w:ascii="宋体" w:hAnsi="宋体" w:eastAsia="宋体" w:cs="宋体"/>
          <w:color w:val="000000"/>
          <w:sz w:val="21"/>
          <w:szCs w:val="21"/>
          <w:lang w:val="en-US" w:eastAsia="zh-CN"/>
        </w:rPr>
        <w:t>矩形墩柱</w:t>
      </w:r>
      <w:r>
        <w:rPr>
          <w:rFonts w:hint="eastAsia" w:ascii="宋体" w:hAnsi="宋体" w:eastAsia="宋体" w:cs="宋体"/>
          <w:color w:val="000000"/>
          <w:sz w:val="21"/>
          <w:szCs w:val="21"/>
        </w:rPr>
        <w:t>，</w:t>
      </w:r>
      <w:r>
        <w:rPr>
          <w:rFonts w:hint="eastAsia" w:ascii="宋体" w:hAnsi="宋体" w:eastAsia="宋体" w:cs="宋体"/>
          <w:color w:val="000000"/>
          <w:sz w:val="21"/>
          <w:szCs w:val="21"/>
          <w:lang w:val="en-US" w:eastAsia="zh-CN"/>
        </w:rPr>
        <w:t>钢筋笼，卧式</w:t>
      </w:r>
      <w:r>
        <w:rPr>
          <w:rFonts w:hint="eastAsia" w:ascii="宋体" w:hAnsi="宋体" w:eastAsia="宋体" w:cs="宋体"/>
          <w:color w:val="000000"/>
          <w:sz w:val="21"/>
          <w:szCs w:val="21"/>
        </w:rPr>
        <w:t>，</w:t>
      </w:r>
      <w:r>
        <w:rPr>
          <w:rFonts w:hint="eastAsia" w:ascii="宋体" w:hAnsi="宋体" w:eastAsia="宋体" w:cs="宋体"/>
          <w:color w:val="000000"/>
          <w:sz w:val="21"/>
          <w:szCs w:val="21"/>
          <w:lang w:val="en-US" w:eastAsia="zh-CN"/>
        </w:rPr>
        <w:t>胎架</w:t>
      </w:r>
    </w:p>
    <w:p>
      <w:pPr>
        <w:snapToGrid w:val="0"/>
        <w:rPr>
          <w:rFonts w:ascii="方正小标宋简体" w:hAnsi="方正小标宋简体" w:eastAsia="方正小标宋简体" w:cs="方正小标宋简体"/>
          <w:color w:val="000000"/>
          <w:sz w:val="21"/>
          <w:szCs w:val="21"/>
        </w:rPr>
      </w:pPr>
    </w:p>
    <w:p>
      <w:pPr>
        <w:spacing w:beforeLines="50"/>
        <w:jc w:val="center"/>
        <w:rPr>
          <w:rFonts w:ascii="方正小标宋简体" w:hAnsi="方正小标宋简体" w:eastAsia="方正小标宋简体" w:cs="方正小标宋简体"/>
          <w:color w:val="000000"/>
          <w:szCs w:val="32"/>
        </w:rPr>
      </w:pPr>
      <w:r>
        <w:rPr>
          <w:rFonts w:hint="eastAsia" w:ascii="方正小标宋简体" w:hAnsi="方正小标宋简体" w:eastAsia="方正小标宋简体" w:cs="方正小标宋简体"/>
          <w:color w:val="000000"/>
          <w:szCs w:val="32"/>
        </w:rPr>
        <w:t>矩形墩柱钢筋笼卧式安装胎架</w:t>
      </w:r>
    </w:p>
    <w:p>
      <w:pPr>
        <w:spacing w:beforeLines="50"/>
        <w:jc w:val="center"/>
        <w:rPr>
          <w:rFonts w:hint="default" w:eastAsia="仿宋_GB2312"/>
          <w:sz w:val="24"/>
          <w:highlight w:val="none"/>
          <w:lang w:val="en-US" w:eastAsia="zh-CN"/>
        </w:rPr>
      </w:pPr>
      <w:r>
        <w:rPr>
          <w:rFonts w:hint="eastAsia"/>
          <w:sz w:val="24"/>
          <w:highlight w:val="none"/>
        </w:rPr>
        <w:t>JWC202</w:t>
      </w:r>
      <w:r>
        <w:rPr>
          <w:rFonts w:hint="eastAsia"/>
          <w:sz w:val="24"/>
          <w:highlight w:val="none"/>
          <w:lang w:val="en-US" w:eastAsia="zh-CN"/>
        </w:rPr>
        <w:t>1</w:t>
      </w:r>
      <w:r>
        <w:rPr>
          <w:rFonts w:hint="eastAsia"/>
          <w:sz w:val="24"/>
          <w:highlight w:val="none"/>
        </w:rPr>
        <w:t>-</w:t>
      </w:r>
      <w:r>
        <w:rPr>
          <w:rFonts w:hint="eastAsia"/>
          <w:sz w:val="24"/>
          <w:highlight w:val="none"/>
          <w:lang w:val="en-US" w:eastAsia="zh-CN"/>
        </w:rPr>
        <w:t>169</w:t>
      </w:r>
    </w:p>
    <w:p>
      <w:pPr>
        <w:spacing w:beforeLines="50"/>
        <w:jc w:val="center"/>
        <w:rPr>
          <w:rFonts w:hint="default" w:ascii="黑体" w:hAnsi="黑体" w:eastAsia="黑体" w:cs="黑体"/>
          <w:sz w:val="24"/>
          <w:lang w:val="en-US" w:eastAsia="zh-CN"/>
        </w:rPr>
      </w:pPr>
      <w:r>
        <w:rPr>
          <w:rFonts w:hint="eastAsia" w:ascii="黑体" w:hAnsi="黑体" w:eastAsia="黑体" w:cs="黑体"/>
          <w:sz w:val="24"/>
        </w:rPr>
        <w:t>兰州中川国际机场三期扩建工程机场工程飞行区场道工程八标段</w:t>
      </w:r>
      <w:r>
        <w:rPr>
          <w:rFonts w:hint="eastAsia" w:ascii="黑体" w:hAnsi="黑体" w:eastAsia="黑体" w:cs="黑体"/>
          <w:sz w:val="24"/>
          <w:lang w:val="en-US" w:eastAsia="zh-CN"/>
        </w:rPr>
        <w:t>项目经理部</w:t>
      </w:r>
    </w:p>
    <w:p>
      <w:pPr>
        <w:spacing w:beforeLines="50"/>
        <w:jc w:val="center"/>
        <w:rPr>
          <w:sz w:val="24"/>
        </w:rPr>
      </w:pPr>
      <w:r>
        <w:rPr>
          <w:rFonts w:hint="eastAsia"/>
          <w:sz w:val="24"/>
        </w:rPr>
        <w:t>魏盼业</w:t>
      </w:r>
      <w:r>
        <w:rPr>
          <w:rFonts w:hint="eastAsia"/>
          <w:sz w:val="24"/>
          <w:lang w:eastAsia="zh-CN"/>
        </w:rPr>
        <w:t>、</w:t>
      </w:r>
      <w:r>
        <w:rPr>
          <w:rFonts w:hint="eastAsia"/>
          <w:sz w:val="24"/>
        </w:rPr>
        <w:t>张文军、钱伦、张敏、陆波涌、闫新兵</w:t>
      </w:r>
    </w:p>
    <w:p>
      <w:pPr>
        <w:spacing w:beforeLines="50"/>
        <w:jc w:val="center"/>
        <w:rPr>
          <w:sz w:val="24"/>
        </w:rPr>
      </w:pPr>
    </w:p>
    <w:p>
      <w:pPr>
        <w:spacing w:beforeLines="50" w:afterLines="50" w:line="360" w:lineRule="auto"/>
        <w:jc w:val="center"/>
        <w:rPr>
          <w:rFonts w:ascii="黑体" w:hAnsi="黑体" w:eastAsia="黑体" w:cs="黑体"/>
          <w:b/>
          <w:bCs/>
          <w:color w:val="002060"/>
          <w:sz w:val="24"/>
        </w:rPr>
      </w:pPr>
      <w:r>
        <w:rPr>
          <w:rFonts w:hint="eastAsia" w:ascii="黑体" w:hAnsi="黑体" w:eastAsia="黑体" w:cs="黑体"/>
          <w:b/>
          <w:bCs/>
          <w:color w:val="002060"/>
          <w:sz w:val="24"/>
        </w:rPr>
        <w:t>1.成果简介</w:t>
      </w:r>
    </w:p>
    <w:p>
      <w:pPr>
        <w:spacing w:line="312" w:lineRule="auto"/>
        <w:ind w:firstLine="442" w:firstLineChars="200"/>
        <w:outlineLvl w:val="1"/>
        <w:rPr>
          <w:rFonts w:ascii="宋体" w:hAnsi="宋体" w:eastAsia="宋体" w:cs="宋体"/>
          <w:b/>
          <w:bCs/>
          <w:sz w:val="22"/>
          <w:szCs w:val="22"/>
        </w:rPr>
      </w:pPr>
      <w:r>
        <w:rPr>
          <w:rFonts w:hint="eastAsia" w:ascii="宋体" w:hAnsi="宋体" w:eastAsia="宋体" w:cs="宋体"/>
          <w:b/>
          <w:bCs/>
          <w:sz w:val="22"/>
          <w:szCs w:val="22"/>
        </w:rPr>
        <w:t>1.1技术背景</w:t>
      </w:r>
      <w:bookmarkStart w:id="0" w:name="_GoBack"/>
      <w:bookmarkEnd w:id="0"/>
    </w:p>
    <w:p>
      <w:pPr>
        <w:spacing w:line="312" w:lineRule="auto"/>
        <w:ind w:firstLine="440" w:firstLineChars="200"/>
        <w:rPr>
          <w:rFonts w:ascii="宋体" w:hAnsi="宋体" w:eastAsia="宋体" w:cs="宋体"/>
          <w:b/>
          <w:bCs/>
          <w:color w:val="000000"/>
          <w:sz w:val="22"/>
          <w:szCs w:val="22"/>
        </w:rPr>
      </w:pPr>
      <w:r>
        <w:rPr>
          <w:rFonts w:hint="eastAsia" w:ascii="宋体" w:hAnsi="宋体" w:eastAsia="宋体" w:cs="宋体"/>
          <w:sz w:val="22"/>
          <w:szCs w:val="22"/>
        </w:rPr>
        <w:t>桥梁工程中最常见的桥墩形式为圆形墩，但是在市政桥梁和一些公路桥梁设计时采用矩形墩设计。在常见的圆形墩施工时，墩身钢筋笼加工现在已发展到智能设备可以一次性完成精准加工，运输到现场后采用吊车直接起吊安装即可，但是在矩形墩墩身钢筋笼加工时无法采用滚焊的方式进行加工，只能将钢筋加工成半成品后运输至现场进行现场起吊拼装，施工速度慢，安装精度低，安全风险大。为解决上述问题，受到预制箱梁钢筋绑扎台架启发，</w:t>
      </w:r>
      <w:r>
        <w:rPr>
          <w:rFonts w:hint="eastAsia" w:ascii="宋体" w:hAnsi="宋体" w:eastAsia="宋体" w:cs="宋体"/>
          <w:sz w:val="22"/>
          <w:szCs w:val="22"/>
          <w:lang w:val="en-US" w:eastAsia="zh-CN"/>
        </w:rPr>
        <w:t>创新</w:t>
      </w:r>
      <w:r>
        <w:rPr>
          <w:rFonts w:hint="eastAsia" w:ascii="宋体" w:hAnsi="宋体" w:eastAsia="宋体" w:cs="宋体"/>
          <w:sz w:val="22"/>
          <w:szCs w:val="22"/>
        </w:rPr>
        <w:t>研发出</w:t>
      </w:r>
      <w:r>
        <w:rPr>
          <w:rFonts w:hint="eastAsia" w:ascii="宋体" w:hAnsi="宋体" w:eastAsia="宋体" w:cs="宋体"/>
          <w:sz w:val="22"/>
          <w:szCs w:val="22"/>
          <w:lang w:val="en-US" w:eastAsia="zh-CN"/>
        </w:rPr>
        <w:t>一种</w:t>
      </w:r>
      <w:r>
        <w:rPr>
          <w:rFonts w:hint="eastAsia" w:ascii="宋体" w:hAnsi="宋体" w:eastAsia="宋体" w:cs="宋体"/>
          <w:sz w:val="22"/>
          <w:szCs w:val="22"/>
        </w:rPr>
        <w:t>矩形墩柱钢筋笼卧式安装胎架，可实现</w:t>
      </w:r>
      <w:r>
        <w:rPr>
          <w:rFonts w:hint="eastAsia" w:ascii="宋体" w:hAnsi="宋体" w:eastAsia="宋体" w:cs="宋体"/>
          <w:sz w:val="22"/>
          <w:szCs w:val="22"/>
          <w:lang w:val="en-US" w:eastAsia="zh-CN"/>
        </w:rPr>
        <w:t>矩形钢筋笼一次性精准加工，现场直接起吊安装的目的</w:t>
      </w:r>
      <w:r>
        <w:rPr>
          <w:rFonts w:hint="eastAsia" w:ascii="宋体" w:hAnsi="宋体" w:eastAsia="宋体" w:cs="宋体"/>
          <w:sz w:val="22"/>
          <w:szCs w:val="22"/>
        </w:rPr>
        <w:t>。</w:t>
      </w:r>
    </w:p>
    <w:p>
      <w:pPr>
        <w:spacing w:line="312" w:lineRule="auto"/>
        <w:ind w:firstLine="442" w:firstLineChars="200"/>
        <w:outlineLvl w:val="1"/>
        <w:rPr>
          <w:rFonts w:ascii="宋体" w:hAnsi="宋体" w:eastAsia="宋体" w:cs="宋体"/>
          <w:b/>
          <w:bCs/>
          <w:sz w:val="22"/>
          <w:szCs w:val="22"/>
        </w:rPr>
      </w:pPr>
      <w:r>
        <w:rPr>
          <w:rFonts w:hint="eastAsia" w:ascii="宋体" w:hAnsi="宋体" w:eastAsia="宋体" w:cs="宋体"/>
          <w:b/>
          <w:bCs/>
          <w:sz w:val="22"/>
          <w:szCs w:val="22"/>
        </w:rPr>
        <w:t>1.2解决的主要问题</w:t>
      </w:r>
    </w:p>
    <w:p>
      <w:pPr>
        <w:spacing w:line="312" w:lineRule="auto"/>
        <w:ind w:firstLine="440" w:firstLineChars="200"/>
        <w:rPr>
          <w:rFonts w:ascii="宋体" w:hAnsi="宋体" w:eastAsia="宋体" w:cs="宋体"/>
          <w:sz w:val="22"/>
          <w:szCs w:val="22"/>
        </w:rPr>
      </w:pPr>
      <w:r>
        <w:rPr>
          <w:rFonts w:hint="eastAsia" w:ascii="宋体" w:hAnsi="宋体" w:eastAsia="宋体" w:cs="宋体"/>
          <w:sz w:val="22"/>
          <w:szCs w:val="22"/>
        </w:rPr>
        <w:t>通过利用矩形墩墩身钢筋笼卧式安装台架法进行墩柱施工，有效的加快了</w:t>
      </w:r>
      <w:r>
        <w:rPr>
          <w:rFonts w:hint="eastAsia" w:ascii="宋体" w:hAnsi="宋体" w:eastAsia="宋体" w:cs="宋体"/>
          <w:sz w:val="22"/>
          <w:szCs w:val="22"/>
          <w:lang w:val="en-US" w:eastAsia="zh-CN"/>
        </w:rPr>
        <w:t>墩柱</w:t>
      </w:r>
      <w:r>
        <w:rPr>
          <w:rFonts w:hint="eastAsia" w:ascii="宋体" w:hAnsi="宋体" w:eastAsia="宋体" w:cs="宋体"/>
          <w:sz w:val="22"/>
          <w:szCs w:val="22"/>
        </w:rPr>
        <w:t>施工进度，提高了</w:t>
      </w:r>
      <w:r>
        <w:rPr>
          <w:rFonts w:hint="eastAsia" w:ascii="宋体" w:hAnsi="宋体" w:eastAsia="宋体" w:cs="宋体"/>
          <w:sz w:val="22"/>
          <w:szCs w:val="22"/>
          <w:lang w:val="en-US" w:eastAsia="zh-CN"/>
        </w:rPr>
        <w:t>矩形墩柱钢筋笼</w:t>
      </w:r>
      <w:r>
        <w:rPr>
          <w:rFonts w:hint="eastAsia" w:ascii="宋体" w:hAnsi="宋体" w:eastAsia="宋体" w:cs="宋体"/>
          <w:sz w:val="22"/>
          <w:szCs w:val="22"/>
        </w:rPr>
        <w:t>安装质量，</w:t>
      </w:r>
      <w:r>
        <w:rPr>
          <w:rFonts w:hint="eastAsia" w:ascii="宋体" w:hAnsi="宋体" w:eastAsia="宋体" w:cs="宋体"/>
          <w:sz w:val="22"/>
          <w:szCs w:val="22"/>
          <w:lang w:val="en-US" w:eastAsia="zh-CN"/>
        </w:rPr>
        <w:t>减少了工人高空作业时间，降低了安全风险</w:t>
      </w:r>
      <w:r>
        <w:rPr>
          <w:rFonts w:hint="eastAsia" w:ascii="宋体" w:hAnsi="宋体" w:eastAsia="宋体" w:cs="宋体"/>
          <w:sz w:val="22"/>
          <w:szCs w:val="22"/>
        </w:rPr>
        <w:t>。</w:t>
      </w:r>
    </w:p>
    <w:p>
      <w:pPr>
        <w:spacing w:line="312" w:lineRule="auto"/>
        <w:ind w:firstLine="442" w:firstLineChars="200"/>
        <w:outlineLvl w:val="1"/>
        <w:rPr>
          <w:rFonts w:ascii="宋体" w:hAnsi="宋体" w:eastAsia="宋体" w:cs="宋体"/>
          <w:b/>
          <w:bCs/>
          <w:sz w:val="22"/>
          <w:szCs w:val="22"/>
        </w:rPr>
      </w:pPr>
      <w:r>
        <w:rPr>
          <w:rFonts w:hint="eastAsia" w:ascii="宋体" w:hAnsi="宋体" w:eastAsia="宋体" w:cs="宋体"/>
          <w:b/>
          <w:bCs/>
          <w:sz w:val="22"/>
          <w:szCs w:val="22"/>
        </w:rPr>
        <w:t>1.3适用范围</w:t>
      </w:r>
    </w:p>
    <w:p>
      <w:pPr>
        <w:spacing w:line="312" w:lineRule="auto"/>
        <w:ind w:firstLine="440" w:firstLineChars="200"/>
        <w:rPr>
          <w:rFonts w:ascii="宋体" w:hAnsi="宋体" w:eastAsia="宋体" w:cs="宋体"/>
          <w:sz w:val="22"/>
          <w:szCs w:val="22"/>
        </w:rPr>
      </w:pPr>
      <w:r>
        <w:rPr>
          <w:rFonts w:hint="eastAsia" w:ascii="宋体" w:hAnsi="宋体" w:eastAsia="宋体" w:cs="宋体"/>
          <w:color w:val="000000"/>
          <w:sz w:val="22"/>
          <w:szCs w:val="22"/>
        </w:rPr>
        <w:t>可广泛应用于公路水运工程、市政工程、机场建设等</w:t>
      </w:r>
      <w:r>
        <w:rPr>
          <w:rFonts w:hint="eastAsia" w:ascii="宋体" w:hAnsi="宋体" w:eastAsia="宋体" w:cs="宋体"/>
          <w:color w:val="000000"/>
          <w:sz w:val="22"/>
          <w:szCs w:val="22"/>
          <w:lang w:val="en-US" w:eastAsia="zh-CN"/>
        </w:rPr>
        <w:t>桥梁矩形墩柱钢筋笼加工</w:t>
      </w:r>
      <w:r>
        <w:rPr>
          <w:rFonts w:hint="eastAsia" w:ascii="宋体" w:hAnsi="宋体" w:eastAsia="宋体" w:cs="宋体"/>
          <w:color w:val="000000"/>
          <w:sz w:val="22"/>
          <w:szCs w:val="22"/>
        </w:rPr>
        <w:t>。</w:t>
      </w:r>
    </w:p>
    <w:p>
      <w:pPr>
        <w:spacing w:line="312" w:lineRule="auto"/>
        <w:ind w:firstLine="442" w:firstLineChars="200"/>
        <w:outlineLvl w:val="1"/>
        <w:rPr>
          <w:rFonts w:hint="eastAsia" w:ascii="宋体" w:hAnsi="宋体" w:eastAsia="宋体" w:cs="宋体"/>
          <w:b/>
          <w:bCs/>
          <w:sz w:val="22"/>
          <w:szCs w:val="22"/>
        </w:rPr>
      </w:pPr>
      <w:r>
        <w:rPr>
          <w:rFonts w:hint="eastAsia" w:ascii="宋体" w:hAnsi="宋体" w:eastAsia="宋体" w:cs="宋体"/>
          <w:b/>
          <w:bCs/>
          <w:sz w:val="22"/>
          <w:szCs w:val="22"/>
        </w:rPr>
        <w:t>1.4技术特点</w:t>
      </w:r>
    </w:p>
    <w:p>
      <w:pPr>
        <w:spacing w:line="312" w:lineRule="auto"/>
        <w:ind w:firstLine="440" w:firstLineChars="200"/>
        <w:outlineLvl w:val="1"/>
        <w:rPr>
          <w:rFonts w:hint="eastAsia" w:ascii="宋体" w:hAnsi="宋体" w:eastAsia="宋体" w:cs="宋体"/>
          <w:sz w:val="22"/>
          <w:szCs w:val="22"/>
        </w:rPr>
      </w:pPr>
      <w:r>
        <w:rPr>
          <w:rFonts w:hint="eastAsia" w:ascii="宋体" w:hAnsi="宋体" w:eastAsia="宋体" w:cs="宋体"/>
          <w:sz w:val="22"/>
          <w:szCs w:val="22"/>
          <w:lang w:val="en-US" w:eastAsia="zh-CN"/>
        </w:rPr>
        <w:t>安装胎架</w:t>
      </w:r>
      <w:r>
        <w:rPr>
          <w:rFonts w:hint="eastAsia" w:ascii="宋体" w:hAnsi="宋体" w:eastAsia="宋体" w:cs="宋体"/>
          <w:sz w:val="22"/>
          <w:szCs w:val="22"/>
        </w:rPr>
        <w:t>架采用定位卡槽，使钢筋安装间距和整体几何尺寸更加精准</w:t>
      </w:r>
      <w:r>
        <w:rPr>
          <w:rFonts w:hint="eastAsia" w:ascii="宋体" w:hAnsi="宋体" w:eastAsia="宋体" w:cs="宋体"/>
          <w:sz w:val="22"/>
          <w:szCs w:val="22"/>
          <w:lang w:eastAsia="zh-CN"/>
        </w:rPr>
        <w:t>；</w:t>
      </w:r>
      <w:r>
        <w:rPr>
          <w:rFonts w:hint="eastAsia" w:ascii="宋体" w:hAnsi="宋体" w:eastAsia="宋体" w:cs="宋体"/>
          <w:sz w:val="22"/>
          <w:szCs w:val="22"/>
        </w:rPr>
        <w:t>使用人工少，无需大型机械设备参与，节省成本</w:t>
      </w:r>
      <w:r>
        <w:rPr>
          <w:rFonts w:hint="eastAsia" w:ascii="宋体" w:hAnsi="宋体" w:eastAsia="宋体" w:cs="宋体"/>
          <w:sz w:val="22"/>
          <w:szCs w:val="22"/>
          <w:lang w:eastAsia="zh-CN"/>
        </w:rPr>
        <w:t>；</w:t>
      </w:r>
      <w:r>
        <w:rPr>
          <w:rFonts w:hint="eastAsia" w:ascii="宋体" w:hAnsi="宋体" w:eastAsia="宋体" w:cs="宋体"/>
          <w:sz w:val="22"/>
          <w:szCs w:val="22"/>
        </w:rPr>
        <w:t>机械式循环安装，操作简单，施工速度快</w:t>
      </w:r>
      <w:r>
        <w:rPr>
          <w:rFonts w:hint="eastAsia" w:ascii="宋体" w:hAnsi="宋体" w:eastAsia="宋体" w:cs="宋体"/>
          <w:sz w:val="22"/>
          <w:szCs w:val="22"/>
          <w:lang w:eastAsia="zh-CN"/>
        </w:rPr>
        <w:t>；</w:t>
      </w:r>
      <w:r>
        <w:rPr>
          <w:rFonts w:hint="eastAsia" w:ascii="宋体" w:hAnsi="宋体" w:eastAsia="宋体" w:cs="宋体"/>
          <w:sz w:val="22"/>
          <w:szCs w:val="22"/>
        </w:rPr>
        <w:t>在钢筋笼吊装预埋时，只需进行钢筋笼定位稳固，</w:t>
      </w:r>
      <w:r>
        <w:rPr>
          <w:rFonts w:hint="eastAsia" w:ascii="宋体" w:hAnsi="宋体" w:eastAsia="宋体" w:cs="宋体"/>
          <w:sz w:val="22"/>
          <w:szCs w:val="22"/>
          <w:lang w:val="en-US" w:eastAsia="zh-CN"/>
        </w:rPr>
        <w:t>工人</w:t>
      </w:r>
      <w:r>
        <w:rPr>
          <w:rFonts w:hint="eastAsia" w:ascii="宋体" w:hAnsi="宋体" w:eastAsia="宋体" w:cs="宋体"/>
          <w:sz w:val="22"/>
          <w:szCs w:val="22"/>
        </w:rPr>
        <w:t>高空作业</w:t>
      </w:r>
      <w:r>
        <w:rPr>
          <w:rFonts w:hint="eastAsia" w:ascii="宋体" w:hAnsi="宋体" w:eastAsia="宋体" w:cs="宋体"/>
          <w:sz w:val="22"/>
          <w:szCs w:val="22"/>
          <w:lang w:val="en-US" w:eastAsia="zh-CN"/>
        </w:rPr>
        <w:t>时间短</w:t>
      </w:r>
      <w:r>
        <w:rPr>
          <w:rFonts w:hint="eastAsia" w:ascii="宋体" w:hAnsi="宋体" w:eastAsia="宋体" w:cs="宋体"/>
          <w:sz w:val="22"/>
          <w:szCs w:val="22"/>
        </w:rPr>
        <w:t>，大大提高施工安全性。</w:t>
      </w:r>
    </w:p>
    <w:p>
      <w:pPr>
        <w:spacing w:beforeLines="50" w:afterLines="50" w:line="360" w:lineRule="auto"/>
        <w:jc w:val="center"/>
        <w:rPr>
          <w:rFonts w:ascii="黑体" w:hAnsi="黑体" w:eastAsia="黑体" w:cs="黑体"/>
          <w:b/>
          <w:bCs/>
          <w:color w:val="002060"/>
          <w:sz w:val="24"/>
        </w:rPr>
      </w:pPr>
      <w:r>
        <w:rPr>
          <w:rFonts w:hint="eastAsia" w:ascii="黑体" w:hAnsi="黑体" w:eastAsia="黑体" w:cs="黑体"/>
          <w:b/>
          <w:bCs/>
          <w:color w:val="002060"/>
          <w:sz w:val="24"/>
        </w:rPr>
        <w:t>2.技术内容</w:t>
      </w:r>
    </w:p>
    <w:p>
      <w:pPr>
        <w:spacing w:line="312" w:lineRule="auto"/>
        <w:ind w:firstLine="442" w:firstLineChars="200"/>
        <w:outlineLvl w:val="1"/>
        <w:rPr>
          <w:rFonts w:ascii="宋体" w:hAnsi="宋体" w:eastAsia="宋体" w:cs="宋体"/>
          <w:b/>
          <w:bCs/>
          <w:sz w:val="22"/>
          <w:szCs w:val="22"/>
        </w:rPr>
      </w:pPr>
      <w:r>
        <w:rPr>
          <w:rFonts w:hint="eastAsia" w:ascii="宋体" w:hAnsi="宋体" w:eastAsia="宋体" w:cs="宋体"/>
          <w:b/>
          <w:bCs/>
          <w:sz w:val="22"/>
          <w:szCs w:val="22"/>
        </w:rPr>
        <w:t>2.1工作原理</w:t>
      </w:r>
    </w:p>
    <w:p>
      <w:pPr>
        <w:spacing w:line="312" w:lineRule="auto"/>
        <w:ind w:firstLine="440" w:firstLineChars="200"/>
        <w:outlineLvl w:val="1"/>
        <w:rPr>
          <w:rFonts w:hint="eastAsia" w:ascii="宋体" w:hAnsi="宋体" w:eastAsia="宋体" w:cs="宋体"/>
          <w:sz w:val="22"/>
          <w:szCs w:val="22"/>
        </w:rPr>
      </w:pPr>
      <w:r>
        <w:rPr>
          <w:rFonts w:hint="eastAsia" w:ascii="宋体" w:hAnsi="宋体" w:eastAsia="宋体" w:cs="宋体"/>
          <w:sz w:val="22"/>
          <w:szCs w:val="22"/>
        </w:rPr>
        <w:t>桥梁矩形墩墩身钢筋笼卧式安装台架施工工艺的原理是利用型钢按照设计尺寸制作模具，在模具上增加定位卡具和限位挡板，先将加工好的半成品箍筋件按照设计要求在箍筋定位平台上安装成套，再将成套箍筋件安装到卧式台架上，按照设计要求横穿安装主筋，安装完成后运输至承台位置直接吊装。</w:t>
      </w:r>
    </w:p>
    <w:p>
      <w:pPr>
        <w:spacing w:line="312" w:lineRule="auto"/>
        <w:ind w:firstLine="640" w:firstLineChars="200"/>
        <w:jc w:val="center"/>
        <w:outlineLvl w:val="1"/>
        <w:rPr>
          <w:rFonts w:hint="eastAsia" w:ascii="宋体" w:hAnsi="宋体" w:eastAsia="宋体" w:cs="宋体"/>
          <w:sz w:val="22"/>
          <w:szCs w:val="22"/>
        </w:rPr>
      </w:pPr>
      <w:r>
        <w:drawing>
          <wp:inline distT="0" distB="0" distL="114300" distR="114300">
            <wp:extent cx="2981325" cy="2216785"/>
            <wp:effectExtent l="0" t="0" r="9525" b="1206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6"/>
                    <a:stretch>
                      <a:fillRect/>
                    </a:stretch>
                  </pic:blipFill>
                  <pic:spPr>
                    <a:xfrm>
                      <a:off x="0" y="0"/>
                      <a:ext cx="2981325" cy="2216785"/>
                    </a:xfrm>
                    <a:prstGeom prst="rect">
                      <a:avLst/>
                    </a:prstGeom>
                    <a:noFill/>
                    <a:ln>
                      <a:noFill/>
                    </a:ln>
                  </pic:spPr>
                </pic:pic>
              </a:graphicData>
            </a:graphic>
          </wp:inline>
        </w:drawing>
      </w:r>
    </w:p>
    <w:p>
      <w:pPr>
        <w:spacing w:line="312" w:lineRule="auto"/>
        <w:ind w:firstLine="442" w:firstLineChars="200"/>
        <w:jc w:val="center"/>
        <w:outlineLvl w:val="1"/>
        <w:rPr>
          <w:rFonts w:hint="eastAsia" w:ascii="宋体" w:hAnsi="宋体" w:eastAsia="宋体" w:cs="宋体"/>
          <w:sz w:val="22"/>
          <w:szCs w:val="22"/>
        </w:rPr>
      </w:pPr>
      <w:r>
        <w:rPr>
          <w:rFonts w:hint="eastAsia" w:ascii="宋体" w:hAnsi="宋体" w:eastAsia="宋体" w:cs="宋体"/>
          <w:b/>
          <w:bCs/>
          <w:color w:val="000000"/>
          <w:sz w:val="22"/>
          <w:szCs w:val="22"/>
        </w:rPr>
        <w:t>图1</w:t>
      </w:r>
      <w:r>
        <w:rPr>
          <w:rFonts w:hint="eastAsia" w:ascii="宋体" w:hAnsi="宋体" w:eastAsia="宋体" w:cs="宋体"/>
          <w:b/>
          <w:bCs/>
          <w:color w:val="000000"/>
          <w:sz w:val="22"/>
          <w:szCs w:val="22"/>
          <w:lang w:val="en-US" w:eastAsia="zh-CN"/>
        </w:rPr>
        <w:t xml:space="preserve"> </w:t>
      </w:r>
      <w:r>
        <w:rPr>
          <w:rFonts w:hint="eastAsia" w:ascii="宋体" w:hAnsi="宋体" w:eastAsia="宋体" w:cs="宋体"/>
          <w:b/>
          <w:bCs/>
          <w:color w:val="000000"/>
          <w:sz w:val="22"/>
          <w:szCs w:val="22"/>
        </w:rPr>
        <w:t>箍筋组定位安装平台构造图</w:t>
      </w:r>
    </w:p>
    <w:p>
      <w:pPr>
        <w:spacing w:line="312" w:lineRule="auto"/>
        <w:ind w:firstLine="440" w:firstLineChars="200"/>
        <w:jc w:val="center"/>
        <w:outlineLvl w:val="1"/>
        <w:rPr>
          <w:rFonts w:hint="eastAsia" w:ascii="宋体" w:hAnsi="宋体" w:eastAsia="宋体" w:cs="宋体"/>
          <w:sz w:val="22"/>
          <w:szCs w:val="22"/>
        </w:rPr>
      </w:pPr>
      <w:r>
        <w:rPr>
          <w:rFonts w:hint="eastAsia" w:ascii="宋体" w:hAnsi="宋体" w:eastAsia="宋体" w:cs="宋体"/>
          <w:sz w:val="22"/>
          <w:szCs w:val="22"/>
        </w:rPr>
        <w:t>图中：1－定位立柱；2－钢板平台；3－平台支腿；</w:t>
      </w:r>
    </w:p>
    <w:p>
      <w:pPr>
        <w:spacing w:line="312" w:lineRule="auto"/>
        <w:ind w:firstLine="640" w:firstLineChars="200"/>
        <w:jc w:val="center"/>
        <w:outlineLvl w:val="1"/>
        <w:rPr>
          <w:rFonts w:hint="eastAsia" w:ascii="宋体" w:hAnsi="宋体" w:eastAsia="宋体" w:cs="宋体"/>
          <w:sz w:val="22"/>
          <w:szCs w:val="22"/>
        </w:rPr>
      </w:pPr>
      <w:r>
        <w:drawing>
          <wp:inline distT="0" distB="0" distL="114300" distR="114300">
            <wp:extent cx="3287395" cy="2459990"/>
            <wp:effectExtent l="0" t="0" r="8255" b="1651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7"/>
                    <a:stretch>
                      <a:fillRect/>
                    </a:stretch>
                  </pic:blipFill>
                  <pic:spPr>
                    <a:xfrm>
                      <a:off x="0" y="0"/>
                      <a:ext cx="3287395" cy="2459990"/>
                    </a:xfrm>
                    <a:prstGeom prst="rect">
                      <a:avLst/>
                    </a:prstGeom>
                    <a:noFill/>
                    <a:ln>
                      <a:noFill/>
                    </a:ln>
                  </pic:spPr>
                </pic:pic>
              </a:graphicData>
            </a:graphic>
          </wp:inline>
        </w:drawing>
      </w:r>
    </w:p>
    <w:p>
      <w:pPr>
        <w:spacing w:line="312" w:lineRule="auto"/>
        <w:jc w:val="center"/>
        <w:rPr>
          <w:rFonts w:hint="eastAsia" w:ascii="宋体" w:hAnsi="宋体" w:eastAsia="宋体" w:cs="宋体"/>
          <w:b/>
          <w:bCs/>
          <w:color w:val="000000"/>
          <w:sz w:val="22"/>
          <w:szCs w:val="22"/>
        </w:rPr>
      </w:pPr>
      <w:r>
        <w:rPr>
          <w:rFonts w:hint="eastAsia" w:ascii="宋体" w:hAnsi="宋体" w:eastAsia="宋体" w:cs="宋体"/>
          <w:b/>
          <w:bCs/>
          <w:color w:val="000000"/>
          <w:sz w:val="22"/>
          <w:szCs w:val="22"/>
        </w:rPr>
        <w:t>图2</w:t>
      </w:r>
      <w:r>
        <w:rPr>
          <w:rFonts w:hint="eastAsia" w:ascii="宋体" w:hAnsi="宋体" w:eastAsia="宋体" w:cs="宋体"/>
          <w:b/>
          <w:bCs/>
          <w:color w:val="000000"/>
          <w:sz w:val="22"/>
          <w:szCs w:val="22"/>
          <w:lang w:val="en-US" w:eastAsia="zh-CN"/>
        </w:rPr>
        <w:t xml:space="preserve"> </w:t>
      </w:r>
      <w:r>
        <w:rPr>
          <w:rFonts w:hint="eastAsia" w:ascii="宋体" w:hAnsi="宋体" w:eastAsia="宋体" w:cs="宋体"/>
          <w:b/>
          <w:bCs/>
          <w:color w:val="000000"/>
          <w:sz w:val="22"/>
          <w:szCs w:val="22"/>
        </w:rPr>
        <w:t>钢筋笼卧式安装</w:t>
      </w:r>
      <w:r>
        <w:rPr>
          <w:rFonts w:hint="eastAsia" w:ascii="宋体" w:hAnsi="宋体" w:eastAsia="宋体" w:cs="宋体"/>
          <w:b/>
          <w:bCs/>
          <w:color w:val="000000"/>
          <w:sz w:val="22"/>
          <w:szCs w:val="22"/>
          <w:lang w:val="en-US" w:eastAsia="zh-CN"/>
        </w:rPr>
        <w:t>胎</w:t>
      </w:r>
      <w:r>
        <w:rPr>
          <w:rFonts w:hint="eastAsia" w:ascii="宋体" w:hAnsi="宋体" w:eastAsia="宋体" w:cs="宋体"/>
          <w:b/>
          <w:bCs/>
          <w:color w:val="000000"/>
          <w:sz w:val="22"/>
          <w:szCs w:val="22"/>
        </w:rPr>
        <w:t>架构造图</w:t>
      </w:r>
    </w:p>
    <w:p>
      <w:pPr>
        <w:spacing w:line="312" w:lineRule="auto"/>
        <w:ind w:firstLine="440" w:firstLineChars="200"/>
        <w:jc w:val="center"/>
        <w:outlineLvl w:val="1"/>
        <w:rPr>
          <w:rFonts w:hint="eastAsia" w:ascii="宋体" w:hAnsi="宋体" w:eastAsia="宋体" w:cs="宋体"/>
          <w:sz w:val="22"/>
          <w:szCs w:val="22"/>
        </w:rPr>
      </w:pPr>
      <w:r>
        <w:rPr>
          <w:rFonts w:hint="eastAsia" w:ascii="宋体" w:hAnsi="宋体" w:eastAsia="宋体" w:cs="宋体"/>
          <w:sz w:val="22"/>
          <w:szCs w:val="22"/>
        </w:rPr>
        <w:t>图中：1－底架纵梁；2－底架横梁；3－台身竖梁；4－架体斜支撑；5－骨架横截面长度定位板；6－骨架横截面宽度定位板；7－横截面宽度定位梁；8－定位梁支撑板；9－台身横梁；10－架顶横向定位销；11－箍筋定位齿板。</w:t>
      </w:r>
    </w:p>
    <w:p>
      <w:pPr>
        <w:spacing w:line="312" w:lineRule="auto"/>
        <w:ind w:firstLine="442" w:firstLineChars="200"/>
        <w:outlineLvl w:val="1"/>
        <w:rPr>
          <w:rFonts w:ascii="宋体" w:hAnsi="宋体" w:eastAsia="宋体" w:cs="宋体"/>
          <w:b/>
          <w:bCs/>
          <w:sz w:val="22"/>
          <w:szCs w:val="22"/>
        </w:rPr>
      </w:pPr>
      <w:r>
        <w:rPr>
          <w:rFonts w:hint="eastAsia" w:ascii="宋体" w:hAnsi="宋体" w:eastAsia="宋体" w:cs="宋体"/>
          <w:b/>
          <w:bCs/>
          <w:sz w:val="22"/>
          <w:szCs w:val="22"/>
        </w:rPr>
        <w:t>2.2操作要点</w:t>
      </w:r>
    </w:p>
    <w:p>
      <w:pPr>
        <w:spacing w:line="312" w:lineRule="auto"/>
        <w:ind w:firstLine="440" w:firstLineChars="200"/>
        <w:rPr>
          <w:rFonts w:ascii="宋体" w:hAnsi="宋体" w:eastAsia="宋体" w:cs="宋体"/>
          <w:color w:val="000000"/>
          <w:sz w:val="22"/>
          <w:szCs w:val="22"/>
        </w:rPr>
      </w:pPr>
      <w:r>
        <w:rPr>
          <w:rFonts w:hint="eastAsia" w:ascii="宋体" w:hAnsi="宋体" w:eastAsia="宋体" w:cs="宋体"/>
          <w:color w:val="000000"/>
          <w:sz w:val="22"/>
          <w:szCs w:val="22"/>
        </w:rPr>
        <w:t>（1）施工前规划加工场位置，准备施工现场电通、路通、场地平整压实</w:t>
      </w:r>
      <w:r>
        <w:rPr>
          <w:rFonts w:hint="eastAsia" w:ascii="宋体" w:hAnsi="宋体" w:eastAsia="宋体" w:cs="宋体"/>
          <w:color w:val="000000"/>
          <w:sz w:val="22"/>
          <w:szCs w:val="22"/>
          <w:lang w:val="en-US" w:eastAsia="zh-CN"/>
        </w:rPr>
        <w:t>硬化</w:t>
      </w:r>
      <w:r>
        <w:rPr>
          <w:rFonts w:hint="eastAsia" w:ascii="宋体" w:hAnsi="宋体" w:eastAsia="宋体" w:cs="宋体"/>
          <w:color w:val="000000"/>
          <w:sz w:val="22"/>
          <w:szCs w:val="22"/>
        </w:rPr>
        <w:t>；（2）</w:t>
      </w:r>
      <w:r>
        <w:rPr>
          <w:rFonts w:hint="eastAsia" w:ascii="宋体" w:hAnsi="宋体" w:eastAsia="宋体" w:cs="宋体"/>
          <w:color w:val="000000"/>
          <w:sz w:val="22"/>
          <w:szCs w:val="22"/>
          <w:lang w:val="en-US" w:eastAsia="zh-CN"/>
        </w:rPr>
        <w:t>按照设计图纸安装箍筋组定位安装平台和胎架</w:t>
      </w:r>
      <w:r>
        <w:rPr>
          <w:rFonts w:hint="eastAsia" w:ascii="宋体" w:hAnsi="宋体" w:eastAsia="宋体" w:cs="宋体"/>
          <w:color w:val="000000"/>
          <w:sz w:val="22"/>
          <w:szCs w:val="22"/>
        </w:rPr>
        <w:t>；（3）</w:t>
      </w:r>
      <w:r>
        <w:rPr>
          <w:rFonts w:hint="eastAsia" w:ascii="宋体" w:hAnsi="宋体" w:eastAsia="宋体" w:cs="宋体"/>
          <w:color w:val="000000"/>
          <w:sz w:val="22"/>
          <w:szCs w:val="22"/>
          <w:lang w:val="en-US" w:eastAsia="zh-CN"/>
        </w:rPr>
        <w:t>加工半成品钢筋，运至安装现场</w:t>
      </w:r>
      <w:r>
        <w:rPr>
          <w:rFonts w:hint="eastAsia" w:ascii="宋体" w:hAnsi="宋体" w:eastAsia="宋体" w:cs="宋体"/>
          <w:color w:val="000000"/>
          <w:sz w:val="22"/>
          <w:szCs w:val="22"/>
        </w:rPr>
        <w:t>；（4）</w:t>
      </w:r>
      <w:r>
        <w:rPr>
          <w:rFonts w:hint="eastAsia" w:ascii="宋体" w:hAnsi="宋体" w:eastAsia="宋体" w:cs="宋体"/>
          <w:color w:val="000000"/>
          <w:sz w:val="22"/>
          <w:szCs w:val="22"/>
          <w:lang w:val="en-US" w:eastAsia="zh-CN"/>
        </w:rPr>
        <w:t>钢筋笼安装；</w:t>
      </w:r>
      <w:r>
        <w:rPr>
          <w:rFonts w:hint="eastAsia" w:ascii="宋体" w:hAnsi="宋体" w:eastAsia="宋体" w:cs="宋体"/>
          <w:color w:val="000000"/>
          <w:sz w:val="22"/>
          <w:szCs w:val="22"/>
        </w:rPr>
        <w:t>（</w:t>
      </w:r>
      <w:r>
        <w:rPr>
          <w:rFonts w:hint="eastAsia" w:ascii="宋体" w:hAnsi="宋体" w:eastAsia="宋体" w:cs="宋体"/>
          <w:color w:val="000000"/>
          <w:sz w:val="22"/>
          <w:szCs w:val="22"/>
          <w:lang w:val="en-US" w:eastAsia="zh-CN"/>
        </w:rPr>
        <w:t>5</w:t>
      </w:r>
      <w:r>
        <w:rPr>
          <w:rFonts w:hint="eastAsia" w:ascii="宋体" w:hAnsi="宋体" w:eastAsia="宋体" w:cs="宋体"/>
          <w:color w:val="000000"/>
          <w:sz w:val="22"/>
          <w:szCs w:val="22"/>
        </w:rPr>
        <w:t>）</w:t>
      </w:r>
      <w:r>
        <w:rPr>
          <w:rFonts w:hint="eastAsia" w:ascii="宋体" w:hAnsi="宋体" w:eastAsia="宋体" w:cs="宋体"/>
          <w:color w:val="000000"/>
          <w:sz w:val="22"/>
          <w:szCs w:val="22"/>
          <w:lang w:val="en-US" w:eastAsia="zh-CN"/>
        </w:rPr>
        <w:t>钢筋笼运输至现场直接起吊安装</w:t>
      </w:r>
      <w:r>
        <w:rPr>
          <w:rFonts w:hint="eastAsia" w:ascii="宋体" w:hAnsi="宋体" w:eastAsia="宋体" w:cs="宋体"/>
          <w:color w:val="000000"/>
          <w:sz w:val="22"/>
          <w:szCs w:val="22"/>
        </w:rPr>
        <w:t>。</w:t>
      </w:r>
      <w:r>
        <w:rPr>
          <w:rFonts w:ascii="宋体" w:hAnsi="宋体" w:eastAsia="宋体" w:cs="宋体"/>
          <w:color w:val="000000"/>
          <w:sz w:val="22"/>
          <w:szCs w:val="22"/>
        </w:rPr>
        <w:t xml:space="preserve"> </w:t>
      </w:r>
    </w:p>
    <w:p>
      <w:pPr>
        <w:spacing w:line="312" w:lineRule="auto"/>
        <w:jc w:val="center"/>
        <w:rPr>
          <w:rFonts w:ascii="宋体" w:hAnsi="宋体" w:eastAsia="宋体" w:cs="宋体"/>
          <w:b/>
          <w:bCs/>
          <w:color w:val="000000"/>
          <w:sz w:val="22"/>
          <w:szCs w:val="22"/>
        </w:rPr>
      </w:pPr>
      <w:r>
        <w:drawing>
          <wp:inline distT="0" distB="0" distL="114300" distR="114300">
            <wp:extent cx="2631440" cy="2011045"/>
            <wp:effectExtent l="0" t="0" r="16510" b="8255"/>
            <wp:docPr id="7" name="图片 6" descr="C:/Users/钱多多爸/AppData/Local/Temp/picturecompress_20210813174428/output_1.jpgoutput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descr="C:/Users/钱多多爸/AppData/Local/Temp/picturecompress_20210813174428/output_1.jpgoutput_1"/>
                    <pic:cNvPicPr>
                      <a:picLocks noChangeAspect="1"/>
                    </pic:cNvPicPr>
                  </pic:nvPicPr>
                  <pic:blipFill>
                    <a:blip r:embed="rId8"/>
                    <a:stretch>
                      <a:fillRect/>
                    </a:stretch>
                  </pic:blipFill>
                  <pic:spPr>
                    <a:xfrm>
                      <a:off x="0" y="0"/>
                      <a:ext cx="2631440" cy="2011045"/>
                    </a:xfrm>
                    <a:prstGeom prst="rect">
                      <a:avLst/>
                    </a:prstGeom>
                    <a:noFill/>
                    <a:ln>
                      <a:noFill/>
                    </a:ln>
                  </pic:spPr>
                </pic:pic>
              </a:graphicData>
            </a:graphic>
          </wp:inline>
        </w:drawing>
      </w:r>
      <w:r>
        <w:rPr>
          <w:rFonts w:hint="eastAsia"/>
        </w:rPr>
        <w:t xml:space="preserve"> </w:t>
      </w:r>
      <w:r>
        <w:drawing>
          <wp:inline distT="0" distB="0" distL="114300" distR="114300">
            <wp:extent cx="2637790" cy="2002155"/>
            <wp:effectExtent l="0" t="0" r="10160" b="17145"/>
            <wp:docPr id="5" name="图片 5" descr="mmexport1628847809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mmexport1628847809320"/>
                    <pic:cNvPicPr>
                      <a:picLocks noChangeAspect="1"/>
                    </pic:cNvPicPr>
                  </pic:nvPicPr>
                  <pic:blipFill>
                    <a:blip r:embed="rId9"/>
                    <a:stretch>
                      <a:fillRect/>
                    </a:stretch>
                  </pic:blipFill>
                  <pic:spPr>
                    <a:xfrm>
                      <a:off x="0" y="0"/>
                      <a:ext cx="2637790" cy="2002155"/>
                    </a:xfrm>
                    <a:prstGeom prst="rect">
                      <a:avLst/>
                    </a:prstGeom>
                    <a:noFill/>
                    <a:ln>
                      <a:noFill/>
                    </a:ln>
                  </pic:spPr>
                </pic:pic>
              </a:graphicData>
            </a:graphic>
          </wp:inline>
        </w:drawing>
      </w:r>
    </w:p>
    <w:p>
      <w:pPr>
        <w:spacing w:line="312" w:lineRule="auto"/>
        <w:jc w:val="center"/>
        <w:rPr>
          <w:rFonts w:ascii="宋体" w:hAnsi="宋体" w:eastAsia="宋体" w:cs="宋体"/>
          <w:b/>
          <w:bCs/>
          <w:color w:val="000000"/>
          <w:sz w:val="22"/>
          <w:szCs w:val="22"/>
        </w:rPr>
      </w:pPr>
      <w:r>
        <w:rPr>
          <w:rFonts w:hint="eastAsia" w:ascii="宋体" w:hAnsi="宋体" w:eastAsia="宋体" w:cs="宋体"/>
          <w:b/>
          <w:bCs/>
          <w:color w:val="000000"/>
          <w:sz w:val="22"/>
          <w:szCs w:val="22"/>
        </w:rPr>
        <w:t>图</w:t>
      </w:r>
      <w:r>
        <w:rPr>
          <w:rFonts w:hint="eastAsia" w:ascii="宋体" w:hAnsi="宋体" w:eastAsia="宋体" w:cs="宋体"/>
          <w:b/>
          <w:bCs/>
          <w:color w:val="000000"/>
          <w:sz w:val="22"/>
          <w:szCs w:val="22"/>
          <w:lang w:val="en-US" w:eastAsia="zh-CN"/>
        </w:rPr>
        <w:t xml:space="preserve">3 </w:t>
      </w:r>
      <w:r>
        <w:rPr>
          <w:rFonts w:hint="eastAsia" w:ascii="宋体" w:hAnsi="宋体" w:eastAsia="宋体" w:cs="宋体"/>
          <w:b/>
          <w:bCs/>
          <w:color w:val="000000"/>
          <w:sz w:val="22"/>
          <w:szCs w:val="22"/>
        </w:rPr>
        <w:t>现场使用图</w:t>
      </w:r>
    </w:p>
    <w:p>
      <w:pPr>
        <w:spacing w:beforeLines="50" w:afterLines="50" w:line="360" w:lineRule="auto"/>
        <w:jc w:val="center"/>
        <w:rPr>
          <w:rFonts w:ascii="黑体" w:hAnsi="黑体" w:eastAsia="黑体" w:cs="黑体"/>
          <w:b/>
          <w:bCs/>
          <w:color w:val="002060"/>
          <w:sz w:val="24"/>
        </w:rPr>
      </w:pPr>
      <w:r>
        <w:rPr>
          <w:rFonts w:hint="eastAsia" w:ascii="黑体" w:hAnsi="黑体" w:eastAsia="黑体" w:cs="黑体"/>
          <w:b/>
          <w:bCs/>
          <w:color w:val="002060"/>
          <w:sz w:val="24"/>
        </w:rPr>
        <w:t>3.应用效果</w:t>
      </w:r>
    </w:p>
    <w:p>
      <w:pPr>
        <w:spacing w:line="312" w:lineRule="auto"/>
        <w:ind w:firstLine="440" w:firstLineChars="200"/>
        <w:rPr>
          <w:rFonts w:ascii="宋体" w:hAnsi="宋体" w:eastAsia="宋体" w:cs="宋体"/>
          <w:color w:val="000000"/>
          <w:sz w:val="22"/>
          <w:szCs w:val="22"/>
        </w:rPr>
      </w:pPr>
      <w:r>
        <w:rPr>
          <w:rFonts w:hint="eastAsia" w:ascii="宋体" w:hAnsi="宋体" w:eastAsia="宋体" w:cs="宋体"/>
          <w:color w:val="000000"/>
          <w:sz w:val="22"/>
          <w:szCs w:val="22"/>
        </w:rPr>
        <w:t>矩形墩柱钢筋笼卧式安装胎架在兰州中川国际机场三期扩建工程场道工程滑行道桥和服务车道桥施工中的应用，快速高效的完成了桥梁矩形墩柱的施工，墩柱钢筋保护层和间距合格率较高，有效保证墩柱的整体施工质量。本项目共计123根墩柱，墩身钢筋笼均按照两节段进行加工，共计加工246节段，其中滑行道桥234根（矩形墩柱截面尺寸1.6m*1.6m），服务车道桥12根（矩形墩柱截面尺寸1.4m*1.4m），从人工、机械设备、工期、材料用量等方面进行统计分析，滑行道桥每加工安装3根矩形墩墩柱钢筋笼较传统工艺节约费用为5026元，节约工期1天，服务车道桥每加工两根钢筋笼较传统工艺节约费用为4426元，节省工期1天。共计节约成本418584元，节约工期84天。</w:t>
      </w:r>
    </w:p>
    <w:p>
      <w:pPr>
        <w:spacing w:line="312" w:lineRule="auto"/>
        <w:jc w:val="center"/>
        <w:rPr>
          <w:rFonts w:hint="default" w:eastAsia="仿宋_GB2312"/>
          <w:lang w:val="en-US" w:eastAsia="zh-CN"/>
        </w:rPr>
      </w:pPr>
      <w:r>
        <w:drawing>
          <wp:inline distT="0" distB="0" distL="114300" distR="114300">
            <wp:extent cx="2834640" cy="2073910"/>
            <wp:effectExtent l="0" t="0" r="3810" b="2540"/>
            <wp:docPr id="8" name="图片 6" descr="C:/Users/Lenovo/AppData/Local/Temp/picturecompress_20220116233821/output_48.pngoutput_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6" descr="C:/Users/Lenovo/AppData/Local/Temp/picturecompress_20220116233821/output_48.pngoutput_48"/>
                    <pic:cNvPicPr>
                      <a:picLocks noChangeAspect="1"/>
                    </pic:cNvPicPr>
                  </pic:nvPicPr>
                  <pic:blipFill>
                    <a:blip r:embed="rId10"/>
                    <a:stretch>
                      <a:fillRect/>
                    </a:stretch>
                  </pic:blipFill>
                  <pic:spPr>
                    <a:xfrm>
                      <a:off x="0" y="0"/>
                      <a:ext cx="2834640" cy="2073910"/>
                    </a:xfrm>
                    <a:prstGeom prst="rect">
                      <a:avLst/>
                    </a:prstGeom>
                  </pic:spPr>
                </pic:pic>
              </a:graphicData>
            </a:graphic>
          </wp:inline>
        </w:drawing>
      </w:r>
      <w:r>
        <w:rPr>
          <w:rFonts w:hint="eastAsia"/>
          <w:lang w:val="en-US" w:eastAsia="zh-CN"/>
        </w:rPr>
        <w:t xml:space="preserve">  </w:t>
      </w:r>
      <w:r>
        <w:drawing>
          <wp:inline distT="0" distB="0" distL="114300" distR="114300">
            <wp:extent cx="2723515" cy="2066925"/>
            <wp:effectExtent l="0" t="0" r="635" b="9525"/>
            <wp:docPr id="14" name="图片 13" descr="C:/Users/Lenovo/AppData/Local/Temp/picturecompress_20220410205607/output_1.pngoutput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3" descr="C:/Users/Lenovo/AppData/Local/Temp/picturecompress_20220410205607/output_1.pngoutput_1"/>
                    <pic:cNvPicPr>
                      <a:picLocks noChangeAspect="1"/>
                    </pic:cNvPicPr>
                  </pic:nvPicPr>
                  <pic:blipFill>
                    <a:blip r:embed="rId11"/>
                    <a:srcRect t="5610" r="19730" b="20051"/>
                    <a:stretch>
                      <a:fillRect/>
                    </a:stretch>
                  </pic:blipFill>
                  <pic:spPr>
                    <a:xfrm>
                      <a:off x="0" y="0"/>
                      <a:ext cx="2723515" cy="2066925"/>
                    </a:xfrm>
                    <a:prstGeom prst="rect">
                      <a:avLst/>
                    </a:prstGeom>
                  </pic:spPr>
                </pic:pic>
              </a:graphicData>
            </a:graphic>
          </wp:inline>
        </w:drawing>
      </w:r>
    </w:p>
    <w:p>
      <w:pPr>
        <w:spacing w:line="312" w:lineRule="auto"/>
        <w:jc w:val="center"/>
        <w:rPr>
          <w:rFonts w:ascii="宋体" w:hAnsi="宋体" w:eastAsia="宋体" w:cs="宋体"/>
          <w:b/>
          <w:bCs/>
          <w:color w:val="000000"/>
          <w:sz w:val="22"/>
          <w:szCs w:val="22"/>
        </w:rPr>
      </w:pPr>
      <w:r>
        <w:rPr>
          <w:rFonts w:hint="eastAsia" w:ascii="宋体" w:hAnsi="宋体" w:eastAsia="宋体" w:cs="宋体"/>
          <w:b/>
          <w:bCs/>
          <w:color w:val="000000"/>
          <w:sz w:val="22"/>
          <w:szCs w:val="22"/>
        </w:rPr>
        <w:t>图</w:t>
      </w:r>
      <w:r>
        <w:rPr>
          <w:rFonts w:hint="eastAsia" w:ascii="宋体" w:hAnsi="宋体" w:eastAsia="宋体" w:cs="宋体"/>
          <w:b/>
          <w:bCs/>
          <w:color w:val="000000"/>
          <w:sz w:val="22"/>
          <w:szCs w:val="22"/>
          <w:lang w:val="en-US" w:eastAsia="zh-CN"/>
        </w:rPr>
        <w:t>4 矩形墩柱钢筋笼卧式安装胎架</w:t>
      </w:r>
      <w:r>
        <w:rPr>
          <w:rFonts w:hint="eastAsia" w:ascii="宋体" w:hAnsi="宋体" w:eastAsia="宋体" w:cs="宋体"/>
          <w:b/>
          <w:bCs/>
          <w:color w:val="000000"/>
          <w:sz w:val="22"/>
          <w:szCs w:val="22"/>
        </w:rPr>
        <w:t>照片</w:t>
      </w:r>
    </w:p>
    <w:p>
      <w:pPr>
        <w:spacing w:beforeLines="50" w:afterLines="50" w:line="360" w:lineRule="auto"/>
        <w:jc w:val="center"/>
        <w:rPr>
          <w:rFonts w:ascii="黑体" w:hAnsi="黑体" w:eastAsia="黑体" w:cs="黑体"/>
          <w:b/>
          <w:bCs/>
          <w:color w:val="002060"/>
          <w:sz w:val="24"/>
        </w:rPr>
      </w:pPr>
      <w:r>
        <w:rPr>
          <w:rFonts w:hint="eastAsia" w:ascii="黑体" w:hAnsi="黑体" w:eastAsia="黑体" w:cs="黑体"/>
          <w:b/>
          <w:bCs/>
          <w:color w:val="002060"/>
          <w:sz w:val="24"/>
        </w:rPr>
        <w:t>4.推广应用前景</w:t>
      </w:r>
    </w:p>
    <w:p>
      <w:pPr>
        <w:spacing w:line="312" w:lineRule="auto"/>
        <w:ind w:firstLine="440" w:firstLineChars="200"/>
        <w:rPr>
          <w:rFonts w:ascii="宋体" w:hAnsi="宋体" w:eastAsia="宋体" w:cs="宋体"/>
          <w:color w:val="000000"/>
          <w:sz w:val="22"/>
          <w:szCs w:val="22"/>
        </w:rPr>
      </w:pPr>
      <w:r>
        <w:rPr>
          <w:rFonts w:hint="eastAsia" w:ascii="宋体" w:hAnsi="宋体" w:eastAsia="宋体" w:cs="宋体"/>
          <w:color w:val="000000"/>
          <w:sz w:val="22"/>
          <w:szCs w:val="22"/>
        </w:rPr>
        <w:t>矩形墩墩身钢筋笼卧式安装</w:t>
      </w:r>
      <w:r>
        <w:rPr>
          <w:rFonts w:hint="eastAsia" w:ascii="宋体" w:hAnsi="宋体" w:eastAsia="宋体" w:cs="宋体"/>
          <w:color w:val="000000"/>
          <w:sz w:val="22"/>
          <w:szCs w:val="22"/>
          <w:lang w:val="en-US" w:eastAsia="zh-CN"/>
        </w:rPr>
        <w:t>胎架</w:t>
      </w:r>
      <w:r>
        <w:rPr>
          <w:rFonts w:hint="eastAsia" w:ascii="宋体" w:hAnsi="宋体" w:eastAsia="宋体" w:cs="宋体"/>
          <w:color w:val="000000"/>
          <w:sz w:val="22"/>
          <w:szCs w:val="22"/>
        </w:rPr>
        <w:t>通过在兰州中川国际机场三期扩建工程机场工程飞行区场道工程八标段滑行道桥和服务车道桥施工中的实践应用，有效解决桥梁下部矩形墩柱施工进度慢，钢筋间距和保护层合格率低，高空作风风险大等问题，提高了桥梁整体施工进度和质量，降低了施工成本和高空作业安全风险。卧式安装台架和箍筋组定位操作平台配套使用，操作简单方便，性能稳定；设置的各道定位装置能够精准控制主筋和箍筋组的安装位置，保证钢筋笼安装的尺寸和钢筋间距满足设计和规范要求，进而保证了墩柱钢筋保护层和间距有较高的合格率；加工和安装过程中减少作业人员高空作业时间，降低了安全作业风险；可以提前进行安装储存，待到墩柱钢筋施工时，直接进行吊装固定，有效缩短施工工期，加快施工进度；安装过程中减少了大型机械设备辅助，钢筋安装工艺简单便捷，有效降低施工成本。其工期、效益、质量、安全均得到了有效保证，具有很高的推广价值和应用前景。</w:t>
      </w:r>
    </w:p>
    <w:sectPr>
      <w:headerReference r:id="rId3" w:type="default"/>
      <w:footerReference r:id="rId4" w:type="default"/>
      <w:pgSz w:w="11906" w:h="16838"/>
      <w:pgMar w:top="1440" w:right="1080" w:bottom="1440" w:left="1080" w:header="1020" w:footer="1134" w:gutter="0"/>
      <w:pgNumType w:fmt="numberInDash"/>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altName w:val="仿宋"/>
    <w:panose1 w:val="02010609030101010101"/>
    <w:charset w:val="86"/>
    <w:family w:val="modern"/>
    <w:pitch w:val="default"/>
    <w:sig w:usb0="00000000" w:usb1="00000000" w:usb2="00000000" w:usb3="00000000" w:csb0="00040000" w:csb1="00000000"/>
  </w:font>
  <w:font w:name="仿宋">
    <w:panose1 w:val="02010609060101010101"/>
    <w:charset w:val="86"/>
    <w:family w:val="auto"/>
    <w:pitch w:val="default"/>
    <w:sig w:usb0="800002BF" w:usb1="38CF7CFA" w:usb2="00000016" w:usb3="00000000" w:csb0="00040001" w:csb1="00000000"/>
  </w:font>
  <w:font w:name="方正小标宋简体">
    <w:panose1 w:val="02010601030101010101"/>
    <w:charset w:val="86"/>
    <w:family w:val="auto"/>
    <w:pitch w:val="default"/>
    <w:sig w:usb0="00000001" w:usb1="080E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3" name="文本框 1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pPr>
                            <w:pStyle w:val="3"/>
                          </w:pPr>
                          <w:r>
                            <w:rPr>
                              <w:sz w:val="21"/>
                              <w:szCs w:val="32"/>
                            </w:rPr>
                            <w:fldChar w:fldCharType="begin"/>
                          </w:r>
                          <w:r>
                            <w:rPr>
                              <w:sz w:val="21"/>
                              <w:szCs w:val="32"/>
                            </w:rPr>
                            <w:instrText xml:space="preserve"> PAGE  \* MERGEFORMAT </w:instrText>
                          </w:r>
                          <w:r>
                            <w:rPr>
                              <w:sz w:val="21"/>
                              <w:szCs w:val="32"/>
                            </w:rPr>
                            <w:fldChar w:fldCharType="separate"/>
                          </w:r>
                          <w:r>
                            <w:rPr>
                              <w:sz w:val="21"/>
                              <w:szCs w:val="32"/>
                            </w:rPr>
                            <w:t>- 2 -</w:t>
                          </w:r>
                          <w:r>
                            <w:rPr>
                              <w:sz w:val="21"/>
                              <w:szCs w:val="32"/>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s0lY7tAAAAAFAQAADwAAAAAAAAABACAAAAAiAAAAZHJzL2Rvd25yZXYueG1s&#10;UEsBAhQAFAAAAAgAh07iQDkX1r85AgAAcQQAAA4AAAAAAAAAAQAgAAAAHwEAAGRycy9lMm9Eb2Mu&#10;eG1sUEsFBgAAAAAGAAYAWQEAAMoFAAAAAA==&#10;">
              <v:fill on="f" focussize="0,0"/>
              <v:stroke on="f" weight="0.5pt"/>
              <v:imagedata o:title=""/>
              <o:lock v:ext="edit" aspectratio="f"/>
              <v:textbox inset="0mm,0mm,0mm,0mm" style="mso-fit-shape-to-text:t;">
                <w:txbxContent>
                  <w:p>
                    <w:pPr>
                      <w:pStyle w:val="3"/>
                    </w:pPr>
                    <w:r>
                      <w:rPr>
                        <w:sz w:val="21"/>
                        <w:szCs w:val="32"/>
                      </w:rPr>
                      <w:fldChar w:fldCharType="begin"/>
                    </w:r>
                    <w:r>
                      <w:rPr>
                        <w:sz w:val="21"/>
                        <w:szCs w:val="32"/>
                      </w:rPr>
                      <w:instrText xml:space="preserve"> PAGE  \* MERGEFORMAT </w:instrText>
                    </w:r>
                    <w:r>
                      <w:rPr>
                        <w:sz w:val="21"/>
                        <w:szCs w:val="32"/>
                      </w:rPr>
                      <w:fldChar w:fldCharType="separate"/>
                    </w:r>
                    <w:r>
                      <w:rPr>
                        <w:sz w:val="21"/>
                        <w:szCs w:val="32"/>
                      </w:rPr>
                      <w:t>- 2 -</w:t>
                    </w:r>
                    <w:r>
                      <w:rPr>
                        <w:sz w:val="21"/>
                        <w:szCs w:val="32"/>
                      </w:rP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Bdr>
        <w:bottom w:val="single" w:color="auto" w:sz="4" w:space="1"/>
      </w:pBdr>
      <w:jc w:val="center"/>
      <w:rPr>
        <w:rFonts w:ascii="黑体" w:hAnsi="黑体" w:eastAsia="黑体" w:cs="黑体"/>
      </w:rPr>
    </w:pPr>
    <w:r>
      <w:rPr>
        <w:sz w:val="18"/>
      </w:rPr>
      <w:pict>
        <v:shape id="PowerPlusWaterMarkObject47017" o:spid="_x0000_s1026" o:spt="136" type="#_x0000_t136" style="position:absolute;left:0pt;height:59.75pt;width:629.3pt;mso-position-horizontal:center;mso-position-horizontal-relative:margin;mso-position-vertical:center;mso-position-vertical-relative:margin;rotation:-2949120f;z-index:-251656192;mso-width-relative:page;mso-height-relative:page;" fillcolor="#C0C0C0" filled="t" stroked="f" coordsize="21600,21600" adj="10800">
          <v:path/>
          <v:fill on="t" opacity="32768f" focussize="0,0"/>
          <v:stroke on="f"/>
          <v:imagedata o:title=""/>
          <o:lock v:ext="edit" aspectratio="t"/>
          <v:textpath on="t" fitshape="t" fitpath="t" trim="t" xscale="f" string="CHCA中国公路建设行业协会" style="font-family:仿宋_GB2312;font-size:36pt;v-same-letter-heights:f;v-text-align:center;"/>
        </v:shape>
      </w:pict>
    </w:r>
    <w:r>
      <w:rPr>
        <w:rFonts w:hint="eastAsia" w:ascii="黑体" w:hAnsi="黑体" w:eastAsia="黑体" w:cs="黑体"/>
      </w:rPr>
      <w:t>202</w:t>
    </w:r>
    <w:r>
      <w:rPr>
        <w:rFonts w:hint="eastAsia" w:ascii="黑体" w:hAnsi="黑体" w:eastAsia="黑体" w:cs="黑体"/>
        <w:lang w:val="en-US" w:eastAsia="zh-CN"/>
      </w:rPr>
      <w:t>1</w:t>
    </w:r>
    <w:r>
      <w:rPr>
        <w:rFonts w:hint="eastAsia" w:ascii="黑体" w:hAnsi="黑体" w:eastAsia="黑体" w:cs="黑体"/>
      </w:rPr>
      <w:t>年度交通建设“微创新”成果展示</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hdrShapeDefaults>
    <o:shapelayout v:ext="edit">
      <o:idmap v:ext="edit" data="1"/>
    </o:shapelayout>
  </w:hdrShapeDefaults>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zQ1NmM2YzE4Yjc5NTg3MDk3NTQ3MDYxZGMwNzBjMGIifQ=="/>
  </w:docVars>
  <w:rsids>
    <w:rsidRoot w:val="44DE38B5"/>
    <w:rsid w:val="000847F3"/>
    <w:rsid w:val="0015012C"/>
    <w:rsid w:val="001537E7"/>
    <w:rsid w:val="00155F9B"/>
    <w:rsid w:val="001B27F7"/>
    <w:rsid w:val="00201929"/>
    <w:rsid w:val="00206296"/>
    <w:rsid w:val="002F167F"/>
    <w:rsid w:val="0036777E"/>
    <w:rsid w:val="004F57D1"/>
    <w:rsid w:val="00647B9B"/>
    <w:rsid w:val="006A3861"/>
    <w:rsid w:val="006C1812"/>
    <w:rsid w:val="006C759E"/>
    <w:rsid w:val="007057F7"/>
    <w:rsid w:val="007233D3"/>
    <w:rsid w:val="007F2002"/>
    <w:rsid w:val="00824914"/>
    <w:rsid w:val="00846B1E"/>
    <w:rsid w:val="0090616A"/>
    <w:rsid w:val="009A4C1A"/>
    <w:rsid w:val="009A790A"/>
    <w:rsid w:val="00A94061"/>
    <w:rsid w:val="00AB0D38"/>
    <w:rsid w:val="00AB2997"/>
    <w:rsid w:val="00B52E77"/>
    <w:rsid w:val="00BB7F88"/>
    <w:rsid w:val="00BC1675"/>
    <w:rsid w:val="00CC2B55"/>
    <w:rsid w:val="00D53862"/>
    <w:rsid w:val="00DA690A"/>
    <w:rsid w:val="00DD1A7D"/>
    <w:rsid w:val="00DE7DEA"/>
    <w:rsid w:val="00EA7C4B"/>
    <w:rsid w:val="00FC3C5E"/>
    <w:rsid w:val="05E66775"/>
    <w:rsid w:val="07AA1F88"/>
    <w:rsid w:val="0A96278F"/>
    <w:rsid w:val="0D49663A"/>
    <w:rsid w:val="0E9B0EE5"/>
    <w:rsid w:val="0F3166BA"/>
    <w:rsid w:val="0FC70384"/>
    <w:rsid w:val="10D91F69"/>
    <w:rsid w:val="12D009BC"/>
    <w:rsid w:val="144D6C44"/>
    <w:rsid w:val="164474E4"/>
    <w:rsid w:val="16804FD6"/>
    <w:rsid w:val="19184FEE"/>
    <w:rsid w:val="1A9116DB"/>
    <w:rsid w:val="1B8B65A8"/>
    <w:rsid w:val="1BA050D2"/>
    <w:rsid w:val="1C5E7C04"/>
    <w:rsid w:val="1D4F301A"/>
    <w:rsid w:val="1F01392E"/>
    <w:rsid w:val="21FC1C07"/>
    <w:rsid w:val="23DA0054"/>
    <w:rsid w:val="240466DC"/>
    <w:rsid w:val="245E0E03"/>
    <w:rsid w:val="24C16AC3"/>
    <w:rsid w:val="252A4CBA"/>
    <w:rsid w:val="26E617A1"/>
    <w:rsid w:val="2796294B"/>
    <w:rsid w:val="27DF20EF"/>
    <w:rsid w:val="281B4728"/>
    <w:rsid w:val="29004B2D"/>
    <w:rsid w:val="2A1942FF"/>
    <w:rsid w:val="2A28776A"/>
    <w:rsid w:val="2A4F3444"/>
    <w:rsid w:val="2BAB03CF"/>
    <w:rsid w:val="2C160718"/>
    <w:rsid w:val="2CC72414"/>
    <w:rsid w:val="2DB74531"/>
    <w:rsid w:val="2DE252E9"/>
    <w:rsid w:val="2E4F0C34"/>
    <w:rsid w:val="2FC127BE"/>
    <w:rsid w:val="30D20F4E"/>
    <w:rsid w:val="33D2657B"/>
    <w:rsid w:val="3509357D"/>
    <w:rsid w:val="35431E90"/>
    <w:rsid w:val="35496C49"/>
    <w:rsid w:val="37152903"/>
    <w:rsid w:val="374C7490"/>
    <w:rsid w:val="37DD407E"/>
    <w:rsid w:val="38DE08C5"/>
    <w:rsid w:val="39282A8A"/>
    <w:rsid w:val="39673D33"/>
    <w:rsid w:val="3AC77F71"/>
    <w:rsid w:val="3BCC0E66"/>
    <w:rsid w:val="3BD34656"/>
    <w:rsid w:val="3D217ABE"/>
    <w:rsid w:val="3E18718B"/>
    <w:rsid w:val="3F92266E"/>
    <w:rsid w:val="3FFB4A14"/>
    <w:rsid w:val="401716E8"/>
    <w:rsid w:val="41780276"/>
    <w:rsid w:val="42F85996"/>
    <w:rsid w:val="43511AA8"/>
    <w:rsid w:val="43D34118"/>
    <w:rsid w:val="448D0F53"/>
    <w:rsid w:val="44DE38B5"/>
    <w:rsid w:val="46765F73"/>
    <w:rsid w:val="46F9221A"/>
    <w:rsid w:val="47730927"/>
    <w:rsid w:val="48777826"/>
    <w:rsid w:val="48EE4383"/>
    <w:rsid w:val="4A41440D"/>
    <w:rsid w:val="4DE1130A"/>
    <w:rsid w:val="4E1D7A69"/>
    <w:rsid w:val="4EA61DB4"/>
    <w:rsid w:val="4FCD2534"/>
    <w:rsid w:val="510E49FE"/>
    <w:rsid w:val="5709702F"/>
    <w:rsid w:val="5814240D"/>
    <w:rsid w:val="59EC4EE4"/>
    <w:rsid w:val="5D074DE8"/>
    <w:rsid w:val="5FB9551D"/>
    <w:rsid w:val="61B92F94"/>
    <w:rsid w:val="63D15422"/>
    <w:rsid w:val="644D659F"/>
    <w:rsid w:val="684725D9"/>
    <w:rsid w:val="692340AF"/>
    <w:rsid w:val="69A85122"/>
    <w:rsid w:val="6B4677C2"/>
    <w:rsid w:val="6B9A27C3"/>
    <w:rsid w:val="6E08300B"/>
    <w:rsid w:val="703C7978"/>
    <w:rsid w:val="71663954"/>
    <w:rsid w:val="71DB5478"/>
    <w:rsid w:val="71E013C2"/>
    <w:rsid w:val="73AD4BE3"/>
    <w:rsid w:val="73B53D31"/>
    <w:rsid w:val="73BF4748"/>
    <w:rsid w:val="747F3B60"/>
    <w:rsid w:val="758374EC"/>
    <w:rsid w:val="7719666B"/>
    <w:rsid w:val="79254F87"/>
    <w:rsid w:val="796F0760"/>
    <w:rsid w:val="7A155EA4"/>
    <w:rsid w:val="7A8A280C"/>
    <w:rsid w:val="7CC4758A"/>
    <w:rsid w:val="7DAB5041"/>
    <w:rsid w:val="7E0043A1"/>
    <w:rsid w:val="7E45302F"/>
    <w:rsid w:val="7E76122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qFormat="1"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仿宋_GB2312" w:cs="Times New Roman"/>
      <w:kern w:val="2"/>
      <w:sz w:val="32"/>
      <w:szCs w:val="24"/>
      <w:lang w:val="en-US" w:eastAsia="zh-CN" w:bidi="ar-SA"/>
    </w:rPr>
  </w:style>
  <w:style w:type="character" w:default="1" w:styleId="6">
    <w:name w:val="Default Paragraph Font"/>
    <w:semiHidden/>
    <w:unhideWhenUsed/>
    <w:qFormat/>
    <w:uiPriority w:val="1"/>
  </w:style>
  <w:style w:type="table" w:default="1" w:styleId="5">
    <w:name w:val="Normal Table"/>
    <w:semiHidden/>
    <w:unhideWhenUsed/>
    <w:qFormat/>
    <w:uiPriority w:val="99"/>
    <w:tblPr>
      <w:tblCellMar>
        <w:top w:w="0" w:type="dxa"/>
        <w:left w:w="108" w:type="dxa"/>
        <w:bottom w:w="0" w:type="dxa"/>
        <w:right w:w="108" w:type="dxa"/>
      </w:tblCellMar>
    </w:tblPr>
  </w:style>
  <w:style w:type="paragraph" w:styleId="2">
    <w:name w:val="Balloon Text"/>
    <w:basedOn w:val="1"/>
    <w:link w:val="7"/>
    <w:qFormat/>
    <w:uiPriority w:val="0"/>
    <w:rPr>
      <w:sz w:val="18"/>
      <w:szCs w:val="18"/>
    </w:rPr>
  </w:style>
  <w:style w:type="paragraph" w:styleId="3">
    <w:name w:val="footer"/>
    <w:basedOn w:val="1"/>
    <w:qFormat/>
    <w:uiPriority w:val="0"/>
    <w:pPr>
      <w:tabs>
        <w:tab w:val="center" w:pos="4153"/>
        <w:tab w:val="right" w:pos="8306"/>
      </w:tabs>
      <w:snapToGrid w:val="0"/>
      <w:jc w:val="left"/>
    </w:pPr>
    <w:rPr>
      <w:sz w:val="18"/>
    </w:rPr>
  </w:style>
  <w:style w:type="paragraph" w:styleId="4">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character" w:customStyle="1" w:styleId="7">
    <w:name w:val="批注框文本 Char"/>
    <w:basedOn w:val="6"/>
    <w:link w:val="2"/>
    <w:qFormat/>
    <w:uiPriority w:val="0"/>
    <w:rPr>
      <w:rFonts w:ascii="Times New Roman" w:hAnsi="Times New Roman" w:eastAsia="仿宋_GB2312" w:cs="Times New Roman"/>
      <w:kern w:val="2"/>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4.jpeg"/><Relationship Id="rId8" Type="http://schemas.openxmlformats.org/officeDocument/2006/relationships/image" Target="media/image3.jpe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3" Type="http://schemas.openxmlformats.org/officeDocument/2006/relationships/fontTable" Target="fontTable.xml"/><Relationship Id="rId12" Type="http://schemas.openxmlformats.org/officeDocument/2006/relationships/customXml" Target="../customXml/item1.xml"/><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4</Pages>
  <Words>1332</Words>
  <Characters>1419</Characters>
  <Lines>10</Lines>
  <Paragraphs>3</Paragraphs>
  <TotalTime>11</TotalTime>
  <ScaleCrop>false</ScaleCrop>
  <LinksUpToDate>false</LinksUpToDate>
  <CharactersWithSpaces>1471</CharactersWithSpaces>
  <Application>WPS Office_11.1.0.10578_F1E327BC-269C-435d-A152-05C5408002CA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2021-06-02T06:49:00Z</dcterms:created>
  <dc:creator>anda</dc:creator>
  <cp:lastModifiedBy>雪羽</cp:lastModifiedBy>
  <dcterms:modified xsi:type="dcterms:W3CDTF">2022-09-05T06:32:34Z</dcterms:modified>
  <cp:revision>25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2052-11.1.0.10578</vt:lpwstr>
  </property>
  <property fmtid="{D5CDD505-2E9C-101B-9397-08002B2CF9AE}" pid="3" name="ICV">
    <vt:lpwstr>977B52CDCA6F4FF7A9EE28395DC7926F</vt:lpwstr>
  </property>
</Properties>
</file>