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gif" ContentType="image/gi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288" w:lineRule="auto"/>
        <w:rPr>
          <w:rFonts w:ascii="宋体" w:hAnsi="宋体" w:eastAsia="宋体" w:cs="宋体"/>
          <w:b/>
          <w:bCs/>
          <w:color w:val="000000"/>
          <w:sz w:val="21"/>
          <w:szCs w:val="21"/>
        </w:rPr>
      </w:pPr>
    </w:p>
    <w:p>
      <w:pPr>
        <w:snapToGrid w:val="0"/>
        <w:spacing w:line="288" w:lineRule="auto"/>
        <w:rPr>
          <w:rFonts w:hint="eastAsia" w:ascii="宋体" w:hAnsi="宋体" w:eastAsia="宋体" w:cs="宋体"/>
          <w:color w:val="000000"/>
          <w:sz w:val="21"/>
          <w:szCs w:val="21"/>
          <w:lang w:val="en-US" w:eastAsia="zh-CN"/>
        </w:rPr>
      </w:pPr>
      <w:r>
        <w:rPr>
          <w:rFonts w:hint="eastAsia" w:ascii="宋体" w:hAnsi="宋体" w:eastAsia="宋体" w:cs="宋体"/>
          <w:b/>
          <w:bCs/>
          <w:color w:val="000000"/>
          <w:sz w:val="21"/>
          <w:szCs w:val="21"/>
        </w:rPr>
        <w:t>[类  型]</w:t>
      </w:r>
      <w:r>
        <w:rPr>
          <w:rFonts w:hint="eastAsia" w:ascii="宋体" w:hAnsi="宋体" w:eastAsia="宋体" w:cs="宋体"/>
          <w:color w:val="000000"/>
          <w:sz w:val="21"/>
          <w:szCs w:val="21"/>
          <w:lang w:val="en-US" w:eastAsia="zh-CN"/>
        </w:rPr>
        <w:t>技术工艺</w:t>
      </w:r>
    </w:p>
    <w:p>
      <w:pPr>
        <w:snapToGrid w:val="0"/>
        <w:spacing w:line="288" w:lineRule="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rPr>
        <w:t>[关键词</w:t>
      </w:r>
      <w:r>
        <w:rPr>
          <w:rFonts w:hint="eastAsia" w:ascii="宋体" w:hAnsi="宋体" w:eastAsia="宋体" w:cs="宋体"/>
          <w:b/>
          <w:bCs/>
          <w:color w:val="000000"/>
          <w:sz w:val="21"/>
          <w:szCs w:val="21"/>
          <w:lang w:val="en-US" w:eastAsia="zh-CN"/>
        </w:rPr>
        <w:t>]</w:t>
      </w:r>
      <w:r>
        <w:rPr>
          <w:rFonts w:hint="eastAsia" w:ascii="宋体" w:hAnsi="宋体" w:eastAsia="宋体" w:cs="宋体"/>
          <w:b w:val="0"/>
          <w:bCs w:val="0"/>
          <w:color w:val="000000"/>
          <w:sz w:val="21"/>
          <w:szCs w:val="21"/>
          <w:lang w:val="en-US" w:eastAsia="zh-CN"/>
        </w:rPr>
        <w:t>温度智能监测，全过程管理，自动识别</w:t>
      </w:r>
    </w:p>
    <w:p>
      <w:pPr>
        <w:snapToGrid w:val="0"/>
        <w:rPr>
          <w:rFonts w:ascii="方正小标宋简体" w:hAnsi="方正小标宋简体" w:eastAsia="方正小标宋简体" w:cs="方正小标宋简体"/>
          <w:color w:val="000000"/>
          <w:sz w:val="21"/>
          <w:szCs w:val="21"/>
        </w:rPr>
      </w:pPr>
    </w:p>
    <w:p>
      <w:pPr>
        <w:spacing w:beforeLines="50"/>
        <w:jc w:val="center"/>
        <w:rPr>
          <w:rFonts w:ascii="方正小标宋简体" w:hAnsi="方正小标宋简体" w:eastAsia="方正小标宋简体" w:cs="方正小标宋简体"/>
          <w:color w:val="000000"/>
          <w:szCs w:val="32"/>
        </w:rPr>
      </w:pPr>
      <w:r>
        <w:rPr>
          <w:rFonts w:hint="eastAsia" w:ascii="方正小标宋简体" w:hAnsi="方正小标宋简体" w:eastAsia="方正小标宋简体" w:cs="方正小标宋简体"/>
          <w:color w:val="000000"/>
          <w:szCs w:val="32"/>
        </w:rPr>
        <w:t>沥青混合料运输过程温度智能监测装置开发与工程应用</w:t>
      </w:r>
    </w:p>
    <w:p>
      <w:pPr>
        <w:spacing w:beforeLines="50"/>
        <w:jc w:val="center"/>
        <w:rPr>
          <w:sz w:val="24"/>
        </w:rPr>
      </w:pPr>
      <w:r>
        <w:rPr>
          <w:rFonts w:hint="eastAsia"/>
          <w:sz w:val="24"/>
        </w:rPr>
        <w:t>JWC202</w:t>
      </w:r>
      <w:r>
        <w:rPr>
          <w:rFonts w:hint="eastAsia"/>
          <w:sz w:val="24"/>
          <w:lang w:val="en-US" w:eastAsia="zh-CN"/>
        </w:rPr>
        <w:t>1</w:t>
      </w:r>
      <w:r>
        <w:rPr>
          <w:rFonts w:hint="eastAsia"/>
          <w:sz w:val="24"/>
        </w:rPr>
        <w:t>-</w:t>
      </w:r>
      <w:r>
        <w:rPr>
          <w:rFonts w:hint="eastAsia"/>
          <w:sz w:val="24"/>
          <w:lang w:val="en-US" w:eastAsia="zh-CN"/>
        </w:rPr>
        <w:t>170</w:t>
      </w:r>
    </w:p>
    <w:p>
      <w:pPr>
        <w:spacing w:beforeLines="50"/>
        <w:jc w:val="center"/>
        <w:rPr>
          <w:rFonts w:ascii="黑体" w:hAnsi="黑体" w:eastAsia="黑体" w:cs="黑体"/>
          <w:sz w:val="24"/>
        </w:rPr>
      </w:pPr>
      <w:r>
        <w:rPr>
          <w:rFonts w:hint="eastAsia" w:ascii="黑体" w:hAnsi="黑体" w:eastAsia="黑体" w:cs="黑体"/>
          <w:sz w:val="24"/>
        </w:rPr>
        <w:t>黑龙江省公投中路交通科技有限公司</w:t>
      </w:r>
    </w:p>
    <w:p>
      <w:pPr>
        <w:spacing w:beforeLines="50"/>
        <w:jc w:val="center"/>
        <w:rPr>
          <w:sz w:val="24"/>
        </w:rPr>
      </w:pPr>
      <w:r>
        <w:rPr>
          <w:rFonts w:hint="eastAsia"/>
          <w:sz w:val="24"/>
        </w:rPr>
        <w:t>高宏双、李猛、费燕华</w:t>
      </w:r>
    </w:p>
    <w:p>
      <w:pPr>
        <w:spacing w:beforeLines="50"/>
        <w:jc w:val="center"/>
        <w:rPr>
          <w:sz w:val="24"/>
        </w:rPr>
      </w:pP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1.成果简介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1.1技术背景</w:t>
      </w:r>
    </w:p>
    <w:p>
      <w:pPr>
        <w:spacing w:line="312" w:lineRule="auto"/>
        <w:ind w:firstLine="440" w:firstLineChars="200"/>
        <w:rPr>
          <w:rFonts w:hint="eastAsia" w:ascii="宋体" w:hAnsi="宋体" w:eastAsia="宋体" w:cs="宋体"/>
          <w:sz w:val="22"/>
          <w:szCs w:val="22"/>
        </w:rPr>
      </w:pPr>
      <w:r>
        <w:rPr>
          <w:rFonts w:hint="eastAsia" w:ascii="宋体" w:hAnsi="宋体" w:eastAsia="宋体" w:cs="宋体"/>
          <w:sz w:val="22"/>
          <w:szCs w:val="22"/>
        </w:rPr>
        <w:t>近年来，公路工程智慧工地技术覆盖混合料运输环节，以往一般采用在车辆上安装北斗/GPS定位装置的方式，在实际操作中往往面临着执行困难。由于运输车队市场化，运输车辆难以固定，车辆上安装数据采集设备较为困难，路面养护工程中前、后场难以有效衔接的施工组织问题，以及沥青混合料的材料温度、高温老化等问题仍然无法得到解决。</w:t>
      </w:r>
    </w:p>
    <w:p>
      <w:pPr>
        <w:spacing w:line="312" w:lineRule="auto"/>
        <w:ind w:firstLine="440" w:firstLineChars="200"/>
        <w:rPr>
          <w:rFonts w:ascii="宋体" w:hAnsi="宋体" w:eastAsia="宋体" w:cs="宋体"/>
          <w:b/>
          <w:bCs/>
          <w:color w:val="000000"/>
          <w:sz w:val="22"/>
          <w:szCs w:val="22"/>
        </w:rPr>
      </w:pPr>
      <w:r>
        <w:rPr>
          <w:rFonts w:hint="eastAsia" w:ascii="宋体" w:hAnsi="宋体" w:eastAsia="宋体" w:cs="宋体"/>
          <w:sz w:val="22"/>
          <w:szCs w:val="22"/>
        </w:rPr>
        <w:t>为此，结合路面工程质量管理需求，对当前常用的混合料电子测温仪进行创新改进，研发了“沥青混合料运输过程温度智能监测装置”。</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1.2解决的主要问题</w:t>
      </w:r>
    </w:p>
    <w:p>
      <w:pPr>
        <w:spacing w:line="312" w:lineRule="auto"/>
        <w:ind w:firstLine="440" w:firstLineChars="200"/>
        <w:outlineLvl w:val="1"/>
        <w:rPr>
          <w:rFonts w:hint="default" w:ascii="宋体" w:hAnsi="宋体" w:eastAsia="宋体" w:cs="宋体"/>
          <w:sz w:val="22"/>
          <w:szCs w:val="22"/>
          <w:lang w:val="en-US" w:eastAsia="zh-CN"/>
        </w:rPr>
      </w:pPr>
      <w:r>
        <w:rPr>
          <w:rFonts w:hint="eastAsia" w:ascii="宋体" w:hAnsi="宋体" w:eastAsia="宋体" w:cs="宋体"/>
          <w:sz w:val="22"/>
          <w:szCs w:val="22"/>
        </w:rPr>
        <w:t>高速公路路面养护工程施工中，混合料生产施工的前、后场距离较远</w:t>
      </w:r>
      <w:r>
        <w:rPr>
          <w:rFonts w:hint="eastAsia" w:ascii="宋体" w:hAnsi="宋体" w:eastAsia="宋体" w:cs="宋体"/>
          <w:sz w:val="22"/>
          <w:szCs w:val="22"/>
          <w:lang w:eastAsia="zh-CN"/>
        </w:rPr>
        <w:t>；</w:t>
      </w:r>
      <w:r>
        <w:rPr>
          <w:rFonts w:hint="eastAsia" w:ascii="宋体" w:hAnsi="宋体" w:eastAsia="宋体" w:cs="宋体"/>
          <w:sz w:val="22"/>
          <w:szCs w:val="22"/>
        </w:rPr>
        <w:t>在质量控制中，混合料面临着运距长、运输时间不确定等因素</w:t>
      </w:r>
      <w:r>
        <w:rPr>
          <w:rFonts w:hint="eastAsia" w:ascii="宋体" w:hAnsi="宋体" w:eastAsia="宋体" w:cs="宋体"/>
          <w:sz w:val="22"/>
          <w:szCs w:val="22"/>
          <w:lang w:eastAsia="zh-CN"/>
        </w:rPr>
        <w:t>，</w:t>
      </w:r>
      <w:r>
        <w:rPr>
          <w:rFonts w:hint="eastAsia" w:ascii="宋体" w:hAnsi="宋体" w:eastAsia="宋体" w:cs="宋体"/>
          <w:sz w:val="22"/>
          <w:szCs w:val="22"/>
        </w:rPr>
        <w:t>导致的材料温度难易控制、前场施工组织不连续等问题。</w:t>
      </w:r>
      <w:r>
        <w:rPr>
          <w:rFonts w:hint="eastAsia" w:ascii="宋体" w:hAnsi="宋体" w:eastAsia="宋体" w:cs="宋体"/>
          <w:sz w:val="22"/>
          <w:szCs w:val="22"/>
          <w:lang w:val="en-US" w:eastAsia="zh-CN"/>
        </w:rPr>
        <w:t>该装置可实现沥青混合料运输过程的有效监控，保证沥青路面的施工质量。</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1.3适用范围</w:t>
      </w:r>
    </w:p>
    <w:p>
      <w:pPr>
        <w:spacing w:line="312" w:lineRule="auto"/>
        <w:ind w:firstLine="440" w:firstLineChars="200"/>
        <w:rPr>
          <w:rFonts w:ascii="宋体" w:hAnsi="宋体" w:eastAsia="宋体" w:cs="宋体"/>
          <w:sz w:val="22"/>
          <w:szCs w:val="22"/>
        </w:rPr>
      </w:pPr>
      <w:r>
        <w:rPr>
          <w:rFonts w:hint="eastAsia" w:ascii="宋体" w:hAnsi="宋体" w:eastAsia="宋体" w:cs="宋体"/>
          <w:color w:val="000000"/>
          <w:sz w:val="22"/>
          <w:szCs w:val="22"/>
        </w:rPr>
        <w:t>可广泛应用于</w:t>
      </w:r>
      <w:r>
        <w:rPr>
          <w:rFonts w:hint="eastAsia" w:ascii="宋体" w:hAnsi="宋体" w:eastAsia="宋体" w:cs="宋体"/>
          <w:color w:val="000000"/>
          <w:sz w:val="22"/>
          <w:szCs w:val="22"/>
          <w:lang w:val="en-US" w:eastAsia="zh-CN"/>
        </w:rPr>
        <w:t>沥青混合料运输过程中，运输车辆在途信息监测混合料的高温老化、组织施工摊铺，实现沥青路面施工质量的全过程管理</w:t>
      </w:r>
      <w:r>
        <w:rPr>
          <w:rFonts w:hint="eastAsia" w:ascii="宋体" w:hAnsi="宋体" w:eastAsia="宋体" w:cs="宋体"/>
          <w:color w:val="000000"/>
          <w:sz w:val="22"/>
          <w:szCs w:val="22"/>
        </w:rPr>
        <w:t>。</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1.4技术特点</w:t>
      </w:r>
    </w:p>
    <w:p>
      <w:pPr>
        <w:spacing w:line="312" w:lineRule="auto"/>
        <w:ind w:firstLine="440" w:firstLineChars="200"/>
        <w:rPr>
          <w:rFonts w:ascii="宋体" w:hAnsi="宋体" w:eastAsia="宋体" w:cs="宋体"/>
          <w:sz w:val="22"/>
          <w:szCs w:val="22"/>
        </w:rPr>
      </w:pPr>
      <w:r>
        <w:rPr>
          <w:rFonts w:hint="eastAsia" w:ascii="宋体" w:hAnsi="宋体" w:eastAsia="宋体" w:cs="宋体"/>
          <w:sz w:val="22"/>
          <w:szCs w:val="22"/>
          <w:lang w:val="en-US" w:eastAsia="zh-CN"/>
        </w:rPr>
        <w:t>以插拔式安装为理念，通过北斗定位和热电偶测温元件，实现混合料运输时间、位置、温度数据的在线测量，结构简单，使用方便，可广泛应用于不同规模的工程施工项目</w:t>
      </w:r>
      <w:r>
        <w:rPr>
          <w:rFonts w:hint="eastAsia" w:ascii="宋体" w:hAnsi="宋体" w:eastAsia="宋体" w:cs="宋体"/>
          <w:sz w:val="22"/>
          <w:szCs w:val="22"/>
        </w:rPr>
        <w:t>。</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2.技术内容</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2.1工作原理</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沥青混合料运输过程温度智能监测装置”是一种物联网数据智能采集终端，根据运输车辆流动性大的特点，以插拔式安装为理念，不再依赖车辆电源。该设备通过北斗定位和热电偶测温元件，实现混合料运输时间、位置、温度数据的在线测量。</w:t>
      </w:r>
    </w:p>
    <w:p>
      <w:pPr>
        <w:adjustRightInd w:val="0"/>
        <w:snapToGrid w:val="0"/>
        <w:spacing w:line="240" w:lineRule="auto"/>
        <w:jc w:val="center"/>
        <w:rPr>
          <w:rFonts w:hint="eastAsia" w:ascii="仿宋_GB2312" w:hAnsi="楷体" w:eastAsia="仿宋_GB2312"/>
          <w:sz w:val="24"/>
          <w:szCs w:val="24"/>
        </w:rPr>
      </w:pPr>
      <w:r>
        <w:rPr>
          <w:rFonts w:hint="eastAsia" w:ascii="仿宋_GB2312" w:hAnsi="楷体" w:eastAsia="仿宋_GB2312"/>
          <w:sz w:val="24"/>
          <w:szCs w:val="24"/>
        </w:rPr>
        <w:drawing>
          <wp:inline distT="0" distB="0" distL="114300" distR="114300">
            <wp:extent cx="1173480" cy="3967480"/>
            <wp:effectExtent l="0" t="0" r="0" b="0"/>
            <wp:docPr id="8" name="图片 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图片1"/>
                    <pic:cNvPicPr>
                      <a:picLocks noChangeAspect="1"/>
                    </pic:cNvPicPr>
                  </pic:nvPicPr>
                  <pic:blipFill>
                    <a:blip r:embed="rId6"/>
                    <a:srcRect l="9731" r="6772"/>
                    <a:stretch>
                      <a:fillRect/>
                    </a:stretch>
                  </pic:blipFill>
                  <pic:spPr>
                    <a:xfrm rot="-5400000">
                      <a:off x="0" y="0"/>
                      <a:ext cx="1173480" cy="3967480"/>
                    </a:xfrm>
                    <a:prstGeom prst="rect">
                      <a:avLst/>
                    </a:prstGeom>
                    <a:noFill/>
                    <a:ln w="3175">
                      <a:noFill/>
                    </a:ln>
                  </pic:spPr>
                </pic:pic>
              </a:graphicData>
            </a:graphic>
          </wp:inline>
        </w:drawing>
      </w:r>
    </w:p>
    <w:p>
      <w:pPr>
        <w:pStyle w:val="2"/>
        <w:spacing w:line="240" w:lineRule="auto"/>
        <w:jc w:val="center"/>
        <w:rPr>
          <w:rFonts w:hint="default" w:ascii="Times New Roman" w:hAnsi="Times New Roman" w:eastAsia="华文中宋" w:cs="Times New Roman"/>
          <w:b w:val="0"/>
          <w:bCs/>
          <w:sz w:val="24"/>
          <w:szCs w:val="24"/>
          <w:lang w:val="en-US" w:eastAsia="zh-CN"/>
        </w:rPr>
      </w:pPr>
      <w:r>
        <w:rPr>
          <w:rFonts w:hint="eastAsia" w:ascii="仿宋_GB2312" w:hAnsi="楷体" w:eastAsia="仿宋_GB2312"/>
          <w:b/>
          <w:bCs/>
          <w:sz w:val="24"/>
          <w:szCs w:val="24"/>
        </w:rPr>
        <w:t>图1 运输温度智能监测装置</w:t>
      </w:r>
    </w:p>
    <w:p>
      <w:pPr>
        <w:adjustRightInd w:val="0"/>
        <w:snapToGrid w:val="0"/>
        <w:spacing w:after="156" w:afterLines="50" w:line="240" w:lineRule="auto"/>
        <w:jc w:val="center"/>
        <w:rPr>
          <w:rFonts w:hint="default" w:ascii="Times New Roman" w:hAnsi="Times New Roman" w:eastAsia="华文中宋" w:cs="Times New Roman"/>
          <w:b w:val="0"/>
          <w:bCs/>
          <w:sz w:val="24"/>
          <w:szCs w:val="24"/>
          <w:lang w:val="en-US" w:eastAsia="zh-CN"/>
        </w:rPr>
      </w:pPr>
      <w:r>
        <w:rPr>
          <w:rFonts w:hint="default" w:ascii="Times New Roman" w:hAnsi="Times New Roman" w:eastAsia="华文中宋" w:cs="Times New Roman"/>
          <w:b w:val="0"/>
          <w:bCs/>
          <w:sz w:val="24"/>
          <w:szCs w:val="24"/>
          <w:lang w:val="en-US" w:eastAsia="zh-CN"/>
        </w:rPr>
        <w:drawing>
          <wp:inline distT="0" distB="0" distL="114300" distR="114300">
            <wp:extent cx="3324225" cy="1859915"/>
            <wp:effectExtent l="0" t="0" r="13335" b="14605"/>
            <wp:docPr id="1" name="图片 1" descr="智能测温定位终端结构原理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智能测温定位终端结构原理图"/>
                    <pic:cNvPicPr>
                      <a:picLocks noChangeAspect="1"/>
                    </pic:cNvPicPr>
                  </pic:nvPicPr>
                  <pic:blipFill>
                    <a:blip r:embed="rId7"/>
                    <a:stretch>
                      <a:fillRect/>
                    </a:stretch>
                  </pic:blipFill>
                  <pic:spPr>
                    <a:xfrm>
                      <a:off x="0" y="0"/>
                      <a:ext cx="3324225" cy="1859915"/>
                    </a:xfrm>
                    <a:prstGeom prst="rect">
                      <a:avLst/>
                    </a:prstGeom>
                    <a:noFill/>
                    <a:ln>
                      <a:noFill/>
                    </a:ln>
                  </pic:spPr>
                </pic:pic>
              </a:graphicData>
            </a:graphic>
          </wp:inline>
        </w:drawing>
      </w:r>
    </w:p>
    <w:p>
      <w:pPr>
        <w:adjustRightInd w:val="0"/>
        <w:snapToGrid w:val="0"/>
        <w:spacing w:after="156" w:afterLines="50" w:line="240" w:lineRule="auto"/>
        <w:jc w:val="center"/>
        <w:rPr>
          <w:rFonts w:hint="default"/>
          <w:lang w:val="en-US" w:eastAsia="zh-CN"/>
        </w:rPr>
      </w:pPr>
      <w:r>
        <w:rPr>
          <w:rFonts w:hint="eastAsia" w:eastAsia="华文中宋" w:cs="Times New Roman"/>
          <w:b w:val="0"/>
          <w:bCs/>
          <w:sz w:val="24"/>
          <w:szCs w:val="24"/>
          <w:lang w:val="en-US" w:eastAsia="zh-CN"/>
        </w:rPr>
        <w:t>图2 智能测温工作原理图</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开发设备的关键技术为：</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1）基于沥青路面施工质量全过程管理的理念，创新开发了集成北斗定位、热电偶测温元件的插拔式监测装置，解决了以往运输车辆流动性大，车载定位安装困难的问题；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2）基于地理位置智能匹配的原理，建立前后场施工的动态电子围栏，实现运输车辆运输时间周期、混合料摊铺位置的自动识别测量；</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3）运用低功耗的NB-IoT物联网蜂窝数据连接技术，实现混合料运输过程中温度的连续不间断监测，国内首次实现沥青混合料高温老化数据的在线监测。</w:t>
      </w:r>
    </w:p>
    <w:p>
      <w:pPr>
        <w:spacing w:line="312" w:lineRule="auto"/>
        <w:ind w:firstLine="442" w:firstLineChars="200"/>
        <w:outlineLvl w:val="1"/>
        <w:rPr>
          <w:rFonts w:ascii="宋体" w:hAnsi="宋体" w:eastAsia="宋体" w:cs="宋体"/>
          <w:b/>
          <w:bCs/>
          <w:sz w:val="22"/>
          <w:szCs w:val="22"/>
        </w:rPr>
      </w:pPr>
      <w:r>
        <w:rPr>
          <w:rFonts w:hint="eastAsia" w:ascii="宋体" w:hAnsi="宋体" w:eastAsia="宋体" w:cs="宋体"/>
          <w:b/>
          <w:bCs/>
          <w:sz w:val="22"/>
          <w:szCs w:val="22"/>
        </w:rPr>
        <w:t>2.2操作要点</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在运输车装满混合料后，由后场人员将内置北斗定位设备的温度智能监测装置插入车辆测温孔中。在运输过程中，热电偶测温元件对混合料进行连续监测，并通过内置的NB-IoT物联网蜂窝数据传输模组，将材料温度、车辆位置数据发送至网络服务器，路面质控信息系统对混合料高温老化状态进行在线监测。</w:t>
      </w:r>
    </w:p>
    <w:p>
      <w:pPr>
        <w:adjustRightInd w:val="0"/>
        <w:snapToGrid w:val="0"/>
        <w:spacing w:line="240" w:lineRule="auto"/>
        <w:ind w:firstLine="420" w:firstLineChars="175"/>
        <w:jc w:val="center"/>
        <w:rPr>
          <w:rFonts w:hint="eastAsia" w:ascii="仿宋_GB2312" w:hAnsi="楷体" w:eastAsia="仿宋_GB2312"/>
          <w:color w:val="000000"/>
          <w:sz w:val="24"/>
          <w:szCs w:val="24"/>
        </w:rPr>
      </w:pPr>
      <w:r>
        <w:rPr>
          <w:rFonts w:hint="eastAsia" w:ascii="仿宋_GB2312" w:hAnsi="楷体" w:eastAsia="仿宋_GB2312"/>
          <w:sz w:val="24"/>
          <w:szCs w:val="24"/>
          <w:lang w:eastAsia="zh-CN"/>
        </w:rPr>
        <w:drawing>
          <wp:inline distT="0" distB="0" distL="114300" distR="114300">
            <wp:extent cx="4779010" cy="1239520"/>
            <wp:effectExtent l="0" t="0" r="6350" b="10160"/>
            <wp:docPr id="3" name="图片 2" descr="设备工作过程示意图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设备工作过程示意图_00"/>
                    <pic:cNvPicPr>
                      <a:picLocks noChangeAspect="1"/>
                    </pic:cNvPicPr>
                  </pic:nvPicPr>
                  <pic:blipFill>
                    <a:blip r:embed="rId8"/>
                    <a:srcRect l="4868" t="32304" r="4469" b="34419"/>
                    <a:stretch>
                      <a:fillRect/>
                    </a:stretch>
                  </pic:blipFill>
                  <pic:spPr>
                    <a:xfrm>
                      <a:off x="0" y="0"/>
                      <a:ext cx="4779010" cy="1239520"/>
                    </a:xfrm>
                    <a:prstGeom prst="rect">
                      <a:avLst/>
                    </a:prstGeom>
                    <a:noFill/>
                    <a:ln>
                      <a:noFill/>
                    </a:ln>
                  </pic:spPr>
                </pic:pic>
              </a:graphicData>
            </a:graphic>
          </wp:inline>
        </w:drawing>
      </w:r>
    </w:p>
    <w:p>
      <w:pPr>
        <w:adjustRightInd w:val="0"/>
        <w:snapToGrid w:val="0"/>
        <w:spacing w:line="240" w:lineRule="auto"/>
        <w:ind w:left="0" w:leftChars="0" w:firstLine="0" w:firstLineChars="0"/>
        <w:jc w:val="center"/>
        <w:rPr>
          <w:rFonts w:hint="default" w:ascii="仿宋_GB2312" w:hAnsi="楷体" w:eastAsia="仿宋_GB2312"/>
          <w:b/>
          <w:bCs/>
          <w:color w:val="000000"/>
          <w:sz w:val="24"/>
          <w:szCs w:val="24"/>
          <w:lang w:val="en-US" w:eastAsia="zh-CN"/>
        </w:rPr>
      </w:pPr>
      <w:r>
        <w:rPr>
          <w:rFonts w:hint="eastAsia" w:ascii="仿宋_GB2312" w:hAnsi="楷体"/>
          <w:b/>
          <w:bCs/>
          <w:color w:val="000000"/>
          <w:sz w:val="24"/>
          <w:szCs w:val="24"/>
          <w:lang w:val="en-US" w:eastAsia="zh-CN"/>
        </w:rPr>
        <w:t>图3 设备操作流程</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在施工前场的摊铺机上安装定位设备，基于摊铺机的施工位置建立动态电子围栏，混合料运输车在出厂、到场时，通过地理位置的自动匹配，来获取运输车辆的时间信息，以及该车混合料的卸料桩号信息，使后场拌合、运输、前场摊铺压实的数据串联，实现沥青路面施工质量的全过程信息化管理。</w:t>
      </w:r>
    </w:p>
    <w:p>
      <w:pPr>
        <w:adjustRightInd w:val="0"/>
        <w:snapToGrid w:val="0"/>
        <w:spacing w:line="240" w:lineRule="auto"/>
        <w:ind w:firstLine="420" w:firstLineChars="175"/>
        <w:jc w:val="left"/>
        <w:rPr>
          <w:rFonts w:hint="eastAsia" w:ascii="仿宋_GB2312" w:hAnsi="楷体" w:eastAsia="仿宋_GB2312"/>
          <w:sz w:val="24"/>
          <w:szCs w:val="24"/>
        </w:rPr>
      </w:pPr>
    </w:p>
    <w:p>
      <w:pPr>
        <w:adjustRightInd w:val="0"/>
        <w:snapToGrid w:val="0"/>
        <w:spacing w:line="240" w:lineRule="auto"/>
        <w:ind w:left="0" w:leftChars="0" w:firstLine="0" w:firstLineChars="0"/>
        <w:jc w:val="center"/>
        <w:rPr>
          <w:rFonts w:hint="eastAsia" w:ascii="仿宋_GB2312" w:hAnsi="楷体" w:eastAsia="仿宋_GB2312"/>
          <w:sz w:val="24"/>
          <w:szCs w:val="24"/>
          <w:lang w:eastAsia="zh-CN"/>
        </w:rPr>
      </w:pPr>
      <w:r>
        <w:rPr>
          <w:rFonts w:hint="eastAsia" w:ascii="仿宋_GB2312" w:hAnsi="楷体" w:eastAsia="仿宋_GB2312"/>
          <w:sz w:val="24"/>
          <w:szCs w:val="24"/>
          <w:lang w:eastAsia="zh-CN"/>
        </w:rPr>
        <w:drawing>
          <wp:inline distT="0" distB="0" distL="114300" distR="114300">
            <wp:extent cx="2037080" cy="1732280"/>
            <wp:effectExtent l="0" t="0" r="5080" b="5080"/>
            <wp:docPr id="4" name="图片 3" descr="f79ed995146fea457a087390908c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f79ed995146fea457a087390908c964"/>
                    <pic:cNvPicPr>
                      <a:picLocks noChangeAspect="1"/>
                    </pic:cNvPicPr>
                  </pic:nvPicPr>
                  <pic:blipFill>
                    <a:blip r:embed="rId9"/>
                    <a:srcRect t="8430" b="27795"/>
                    <a:stretch>
                      <a:fillRect/>
                    </a:stretch>
                  </pic:blipFill>
                  <pic:spPr>
                    <a:xfrm>
                      <a:off x="0" y="0"/>
                      <a:ext cx="2037080" cy="1732280"/>
                    </a:xfrm>
                    <a:prstGeom prst="rect">
                      <a:avLst/>
                    </a:prstGeom>
                    <a:noFill/>
                    <a:ln>
                      <a:noFill/>
                    </a:ln>
                  </pic:spPr>
                </pic:pic>
              </a:graphicData>
            </a:graphic>
          </wp:inline>
        </w:drawing>
      </w:r>
      <w:r>
        <w:rPr>
          <w:rFonts w:hint="eastAsia" w:ascii="仿宋_GB2312" w:hAnsi="楷体" w:eastAsia="仿宋_GB2312"/>
          <w:sz w:val="24"/>
          <w:szCs w:val="24"/>
          <w:lang w:eastAsia="zh-CN"/>
        </w:rPr>
        <w:drawing>
          <wp:inline distT="0" distB="0" distL="114300" distR="114300">
            <wp:extent cx="1093470" cy="1733550"/>
            <wp:effectExtent l="0" t="0" r="3810" b="3810"/>
            <wp:docPr id="2" name="图片 4" descr="02f53dfee725a3b7d431c24a1563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descr="02f53dfee725a3b7d431c24a1563853"/>
                    <pic:cNvPicPr>
                      <a:picLocks noChangeAspect="1"/>
                    </pic:cNvPicPr>
                  </pic:nvPicPr>
                  <pic:blipFill>
                    <a:blip r:embed="rId10"/>
                    <a:srcRect t="14040" b="15091"/>
                    <a:stretch>
                      <a:fillRect/>
                    </a:stretch>
                  </pic:blipFill>
                  <pic:spPr>
                    <a:xfrm>
                      <a:off x="0" y="0"/>
                      <a:ext cx="1093470" cy="1733550"/>
                    </a:xfrm>
                    <a:prstGeom prst="rect">
                      <a:avLst/>
                    </a:prstGeom>
                    <a:noFill/>
                    <a:ln>
                      <a:noFill/>
                    </a:ln>
                  </pic:spPr>
                </pic:pic>
              </a:graphicData>
            </a:graphic>
          </wp:inline>
        </w:drawing>
      </w:r>
    </w:p>
    <w:p>
      <w:pPr>
        <w:spacing w:beforeLines="50" w:afterLines="50" w:line="360" w:lineRule="auto"/>
        <w:jc w:val="center"/>
        <w:rPr>
          <w:rFonts w:hint="eastAsia" w:ascii="仿宋_GB2312" w:hAnsi="楷体"/>
          <w:b/>
          <w:bCs/>
          <w:sz w:val="24"/>
          <w:szCs w:val="24"/>
          <w:lang w:val="en-US" w:eastAsia="zh-CN"/>
        </w:rPr>
      </w:pPr>
      <w:r>
        <w:rPr>
          <w:rFonts w:hint="eastAsia" w:ascii="仿宋_GB2312" w:hAnsi="楷体"/>
          <w:b/>
          <w:bCs/>
          <w:sz w:val="24"/>
          <w:szCs w:val="24"/>
          <w:lang w:val="en-US" w:eastAsia="zh-CN"/>
        </w:rPr>
        <w:t>图4 工程项目现场应用图片</w:t>
      </w:r>
    </w:p>
    <w:p>
      <w:pPr>
        <w:adjustRightInd w:val="0"/>
        <w:snapToGrid w:val="0"/>
        <w:spacing w:line="360" w:lineRule="auto"/>
        <w:ind w:left="0" w:leftChars="0" w:firstLine="0" w:firstLineChars="0"/>
        <w:jc w:val="center"/>
        <w:rPr>
          <w:rFonts w:hint="eastAsia" w:ascii="仿宋_GB2312" w:hAnsi="楷体"/>
          <w:sz w:val="24"/>
          <w:szCs w:val="24"/>
          <w:lang w:val="en-US" w:eastAsia="zh-CN"/>
        </w:rPr>
      </w:pPr>
      <w:r>
        <w:rPr>
          <w:rFonts w:hint="eastAsia" w:ascii="仿宋_GB2312" w:hAnsi="楷体"/>
          <w:sz w:val="24"/>
          <w:szCs w:val="24"/>
          <w:lang w:val="en-US" w:eastAsia="zh-CN"/>
        </w:rPr>
        <w:drawing>
          <wp:inline distT="0" distB="0" distL="114300" distR="114300">
            <wp:extent cx="1336040" cy="2621915"/>
            <wp:effectExtent l="0" t="0" r="5080" b="14605"/>
            <wp:docPr id="7" name="图片 5" descr="GIF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GIF图"/>
                    <pic:cNvPicPr>
                      <a:picLocks noChangeAspect="1"/>
                    </pic:cNvPicPr>
                  </pic:nvPicPr>
                  <pic:blipFill>
                    <a:blip r:embed="rId11"/>
                    <a:stretch>
                      <a:fillRect/>
                    </a:stretch>
                  </pic:blipFill>
                  <pic:spPr>
                    <a:xfrm>
                      <a:off x="0" y="0"/>
                      <a:ext cx="1336040" cy="2621915"/>
                    </a:xfrm>
                    <a:prstGeom prst="rect">
                      <a:avLst/>
                    </a:prstGeom>
                    <a:noFill/>
                    <a:ln>
                      <a:noFill/>
                    </a:ln>
                  </pic:spPr>
                </pic:pic>
              </a:graphicData>
            </a:graphic>
          </wp:inline>
        </w:drawing>
      </w:r>
      <w:r>
        <w:rPr>
          <w:rFonts w:hint="eastAsia" w:ascii="仿宋_GB2312" w:hAnsi="楷体"/>
          <w:sz w:val="24"/>
          <w:szCs w:val="24"/>
          <w:lang w:val="en-US" w:eastAsia="zh-CN"/>
        </w:rPr>
        <w:drawing>
          <wp:inline distT="0" distB="0" distL="114300" distR="114300">
            <wp:extent cx="3532505" cy="1817370"/>
            <wp:effectExtent l="0" t="0" r="3175" b="11430"/>
            <wp:docPr id="5" name="图片 6" descr="796a8cbed4930258cceeb31777772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796a8cbed4930258cceeb317777725c"/>
                    <pic:cNvPicPr>
                      <a:picLocks noChangeAspect="1"/>
                    </pic:cNvPicPr>
                  </pic:nvPicPr>
                  <pic:blipFill>
                    <a:blip r:embed="rId12"/>
                    <a:stretch>
                      <a:fillRect/>
                    </a:stretch>
                  </pic:blipFill>
                  <pic:spPr>
                    <a:xfrm>
                      <a:off x="0" y="0"/>
                      <a:ext cx="3532505" cy="1817370"/>
                    </a:xfrm>
                    <a:prstGeom prst="rect">
                      <a:avLst/>
                    </a:prstGeom>
                    <a:noFill/>
                    <a:ln>
                      <a:noFill/>
                    </a:ln>
                  </pic:spPr>
                </pic:pic>
              </a:graphicData>
            </a:graphic>
          </wp:inline>
        </w:drawing>
      </w:r>
    </w:p>
    <w:p>
      <w:pPr>
        <w:pStyle w:val="2"/>
        <w:jc w:val="center"/>
        <w:rPr>
          <w:rFonts w:hint="eastAsia" w:ascii="仿宋_GB2312" w:hAnsi="楷体"/>
          <w:b/>
          <w:bCs/>
          <w:sz w:val="24"/>
          <w:szCs w:val="24"/>
          <w:lang w:val="en-US" w:eastAsia="zh-CN"/>
        </w:rPr>
      </w:pPr>
      <w:r>
        <w:rPr>
          <w:rFonts w:hint="eastAsia" w:ascii="仿宋_GB2312" w:hAnsi="楷体"/>
          <w:b/>
          <w:bCs/>
          <w:sz w:val="24"/>
          <w:szCs w:val="24"/>
          <w:lang w:val="en-US" w:eastAsia="zh-CN"/>
        </w:rPr>
        <w:t>图5 电脑与手机APP查询混合料运输位置与温度变化</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3.应用效果</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开发设备2021年应用车辆达到859辆，从实际应用情况来看，有益效果表现为：</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1）实现对沥青混合料运输过程温度变化数据的过程感知，避免混合料的高温老化时间、混合料低温使用问题。通过监控工具的影响力，实施工程项目混合料温度合格率达到100%；</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2）对于长距离的运输的路面养护工程，通过运输信息的动态在线提示，有效提升了前、后场施工的衔接，前场施工摊铺停机待料现象减少80%；</w:t>
      </w:r>
    </w:p>
    <w:p>
      <w:pPr>
        <w:adjustRightInd w:val="0"/>
        <w:snapToGrid w:val="0"/>
        <w:spacing w:line="440" w:lineRule="exact"/>
        <w:ind w:firstLine="385" w:firstLineChars="175"/>
        <w:jc w:val="left"/>
        <w:rPr>
          <w:rFonts w:hint="eastAsia"/>
        </w:rPr>
      </w:pPr>
      <w:r>
        <w:rPr>
          <w:rFonts w:hint="eastAsia" w:ascii="宋体" w:hAnsi="宋体" w:eastAsia="宋体" w:cs="宋体"/>
          <w:sz w:val="22"/>
          <w:szCs w:val="22"/>
          <w:lang w:val="en-US" w:eastAsia="zh-CN"/>
        </w:rPr>
        <w:t>3）解决了以往混合料运输轨迹、材料温度难以监控的问题，实施工程项目数据采集率达到100%。</w:t>
      </w:r>
    </w:p>
    <w:p>
      <w:pPr>
        <w:spacing w:beforeLines="50" w:afterLines="50" w:line="360" w:lineRule="auto"/>
        <w:jc w:val="center"/>
        <w:rPr>
          <w:rFonts w:ascii="黑体" w:hAnsi="黑体" w:eastAsia="黑体" w:cs="黑体"/>
          <w:b/>
          <w:bCs/>
          <w:color w:val="002060"/>
          <w:sz w:val="24"/>
        </w:rPr>
      </w:pPr>
      <w:r>
        <w:rPr>
          <w:rFonts w:hint="eastAsia" w:ascii="黑体" w:hAnsi="黑体" w:eastAsia="黑体" w:cs="黑体"/>
          <w:b/>
          <w:bCs/>
          <w:color w:val="002060"/>
          <w:sz w:val="24"/>
        </w:rPr>
        <w:t>4.推广应用前景</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本次创新开发的智能测温设备成本低，但有效解决了以往路面施工中运输环节的数据采集的难题，2021年开发完成后，在江苏、黑龙江近30个工程项目得到应用，当年实现销售859台，并且受到了行业内相关单位的关注。</w:t>
      </w:r>
    </w:p>
    <w:p>
      <w:pPr>
        <w:adjustRightInd w:val="0"/>
        <w:snapToGrid w:val="0"/>
        <w:spacing w:line="440" w:lineRule="exact"/>
        <w:ind w:firstLine="385" w:firstLineChars="175"/>
        <w:jc w:val="left"/>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运输是路面工程必不可少的一个环节，本创新开发的智能测温设备可广泛应用于不同规模的工程施工项目，市场前景广阔。</w:t>
      </w:r>
      <w:bookmarkStart w:id="0" w:name="_GoBack"/>
      <w:bookmarkEnd w:id="0"/>
    </w:p>
    <w:sectPr>
      <w:headerReference r:id="rId3" w:type="default"/>
      <w:footerReference r:id="rId4" w:type="default"/>
      <w:pgSz w:w="11906" w:h="16838"/>
      <w:pgMar w:top="1440" w:right="1080" w:bottom="1440" w:left="1080" w:header="1020" w:footer="1134"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5"/>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kX1r85AgAAcQQAAA4AAABkcnMvZTJvRG9jLnhtbK1UzY7TMBC+I/EO&#10;lu80bVes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6/ejtODiwfgUsdYkaahh4mUutKjFdpd&#10;2/PcmeIEms50k+It39QoZct8uGcOo4HysTzhDp9SGqQ0vUVJZdzXf93HeHQMXkoajFpONTaLEvlB&#10;o5MADIPhBmM3GPqgbg1md4KltDyZeOCCHMzSGfUFG7WKOeBimiNTTsNg3oZu3LGRXKxWKehgXb2v&#10;ugeYQ8vCVj9YHtNEqbxdHQKkTYpHgTpV0Kl4wCSmnvVbE0f9z3OKevqnWD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DkX1r85AgAAcQQAAA4AAAAAAAAAAQAgAAAAHwEAAGRycy9lMm9Eb2Mu&#10;eG1sUEsFBgAAAAAGAAYAWQEAAMoFAAAAAA==&#10;">
              <v:fill on="f" focussize="0,0"/>
              <v:stroke on="f" weight="0.5pt"/>
              <v:imagedata o:title=""/>
              <o:lock v:ext="edit" aspectratio="f"/>
              <v:textbox inset="0mm,0mm,0mm,0mm" style="mso-fit-shape-to-text:t;">
                <w:txbxContent>
                  <w:p>
                    <w:pPr>
                      <w:pStyle w:val="5"/>
                    </w:pPr>
                    <w:r>
                      <w:rPr>
                        <w:sz w:val="21"/>
                        <w:szCs w:val="32"/>
                      </w:rPr>
                      <w:fldChar w:fldCharType="begin"/>
                    </w:r>
                    <w:r>
                      <w:rPr>
                        <w:sz w:val="21"/>
                        <w:szCs w:val="32"/>
                      </w:rPr>
                      <w:instrText xml:space="preserve"> PAGE  \* MERGEFORMAT </w:instrText>
                    </w:r>
                    <w:r>
                      <w:rPr>
                        <w:sz w:val="21"/>
                        <w:szCs w:val="32"/>
                      </w:rPr>
                      <w:fldChar w:fldCharType="separate"/>
                    </w:r>
                    <w:r>
                      <w:rPr>
                        <w:sz w:val="21"/>
                        <w:szCs w:val="32"/>
                      </w:rPr>
                      <w:t>- 2 -</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single" w:color="auto" w:sz="4" w:space="1"/>
      </w:pBdr>
      <w:jc w:val="center"/>
      <w:rPr>
        <w:rFonts w:ascii="黑体" w:hAnsi="黑体" w:eastAsia="黑体" w:cs="黑体"/>
      </w:rPr>
    </w:pPr>
    <w:r>
      <w:rPr>
        <w:sz w:val="18"/>
      </w:rPr>
      <w:pict>
        <v:shape id="PowerPlusWaterMarkObject47017" o:spid="_x0000_s1026"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rPr>
      <w:t>202</w:t>
    </w:r>
    <w:r>
      <w:rPr>
        <w:rFonts w:hint="eastAsia" w:ascii="黑体" w:hAnsi="黑体" w:eastAsia="黑体" w:cs="黑体"/>
        <w:lang w:val="en-US" w:eastAsia="zh-CN"/>
      </w:rPr>
      <w:t>1</w:t>
    </w:r>
    <w:r>
      <w:rPr>
        <w:rFonts w:hint="eastAsia" w:ascii="黑体" w:hAnsi="黑体" w:eastAsia="黑体" w:cs="黑体"/>
      </w:rPr>
      <w:t>年度交通建设“微创新”成果展示</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Q5YmJlZTI1N2VlOTM4ZjZmMzBkMTg5N2RiNTUzMzUifQ=="/>
  </w:docVars>
  <w:rsids>
    <w:rsidRoot w:val="44DE38B5"/>
    <w:rsid w:val="000847F3"/>
    <w:rsid w:val="0015012C"/>
    <w:rsid w:val="001537E7"/>
    <w:rsid w:val="00155F9B"/>
    <w:rsid w:val="001B27F7"/>
    <w:rsid w:val="00201929"/>
    <w:rsid w:val="00206296"/>
    <w:rsid w:val="002F167F"/>
    <w:rsid w:val="0036777E"/>
    <w:rsid w:val="004F57D1"/>
    <w:rsid w:val="00647B9B"/>
    <w:rsid w:val="006A3861"/>
    <w:rsid w:val="006C1812"/>
    <w:rsid w:val="006C759E"/>
    <w:rsid w:val="007057F7"/>
    <w:rsid w:val="007233D3"/>
    <w:rsid w:val="007F2002"/>
    <w:rsid w:val="00824914"/>
    <w:rsid w:val="00846B1E"/>
    <w:rsid w:val="0090616A"/>
    <w:rsid w:val="009A4C1A"/>
    <w:rsid w:val="009A790A"/>
    <w:rsid w:val="00A94061"/>
    <w:rsid w:val="00AB0D38"/>
    <w:rsid w:val="00AB2997"/>
    <w:rsid w:val="00B52E77"/>
    <w:rsid w:val="00BB7F88"/>
    <w:rsid w:val="00BC1675"/>
    <w:rsid w:val="00CC2B55"/>
    <w:rsid w:val="00D53862"/>
    <w:rsid w:val="00DA690A"/>
    <w:rsid w:val="00DD1A7D"/>
    <w:rsid w:val="00DE7DEA"/>
    <w:rsid w:val="00EA7C4B"/>
    <w:rsid w:val="00FC3C5E"/>
    <w:rsid w:val="01086C64"/>
    <w:rsid w:val="031E451D"/>
    <w:rsid w:val="03217B69"/>
    <w:rsid w:val="03A8028B"/>
    <w:rsid w:val="04497378"/>
    <w:rsid w:val="04A647CA"/>
    <w:rsid w:val="05E66775"/>
    <w:rsid w:val="066E57BB"/>
    <w:rsid w:val="07041C7C"/>
    <w:rsid w:val="073C31C4"/>
    <w:rsid w:val="07AA1F88"/>
    <w:rsid w:val="07B0770E"/>
    <w:rsid w:val="07C82CA9"/>
    <w:rsid w:val="07FB28BC"/>
    <w:rsid w:val="08CC67C9"/>
    <w:rsid w:val="094840A2"/>
    <w:rsid w:val="0A11678E"/>
    <w:rsid w:val="0A96278F"/>
    <w:rsid w:val="0BDC31C7"/>
    <w:rsid w:val="0C9615C8"/>
    <w:rsid w:val="0D350DE1"/>
    <w:rsid w:val="0D49663A"/>
    <w:rsid w:val="0D5648B3"/>
    <w:rsid w:val="0E9B0EE5"/>
    <w:rsid w:val="0EE4486D"/>
    <w:rsid w:val="0F3166BA"/>
    <w:rsid w:val="0FC70384"/>
    <w:rsid w:val="10D91F69"/>
    <w:rsid w:val="1212349F"/>
    <w:rsid w:val="12D009BC"/>
    <w:rsid w:val="144D6C44"/>
    <w:rsid w:val="164474E4"/>
    <w:rsid w:val="16804FD6"/>
    <w:rsid w:val="175E2CE2"/>
    <w:rsid w:val="185C1918"/>
    <w:rsid w:val="186E51A7"/>
    <w:rsid w:val="19184FEE"/>
    <w:rsid w:val="196842EC"/>
    <w:rsid w:val="1A037B71"/>
    <w:rsid w:val="1A5149DE"/>
    <w:rsid w:val="1A9116DB"/>
    <w:rsid w:val="1B1C538E"/>
    <w:rsid w:val="1B8B65A8"/>
    <w:rsid w:val="1BA050D2"/>
    <w:rsid w:val="1C5E7C04"/>
    <w:rsid w:val="1D4F301A"/>
    <w:rsid w:val="1F01392E"/>
    <w:rsid w:val="1F4B6242"/>
    <w:rsid w:val="21B862A5"/>
    <w:rsid w:val="21FC1C07"/>
    <w:rsid w:val="23810484"/>
    <w:rsid w:val="23DA0054"/>
    <w:rsid w:val="240466DC"/>
    <w:rsid w:val="24572F93"/>
    <w:rsid w:val="245E0E03"/>
    <w:rsid w:val="252A4CBA"/>
    <w:rsid w:val="259E565E"/>
    <w:rsid w:val="26E617A1"/>
    <w:rsid w:val="2796294B"/>
    <w:rsid w:val="27B01338"/>
    <w:rsid w:val="27DF20EF"/>
    <w:rsid w:val="28101DD7"/>
    <w:rsid w:val="28173165"/>
    <w:rsid w:val="281B4728"/>
    <w:rsid w:val="29004B2D"/>
    <w:rsid w:val="2A1942FF"/>
    <w:rsid w:val="2A28776A"/>
    <w:rsid w:val="2A4F3444"/>
    <w:rsid w:val="2B0C0F7B"/>
    <w:rsid w:val="2BAB03CF"/>
    <w:rsid w:val="2C160718"/>
    <w:rsid w:val="2CC72414"/>
    <w:rsid w:val="2CE37ABA"/>
    <w:rsid w:val="2DB631E5"/>
    <w:rsid w:val="2DB74531"/>
    <w:rsid w:val="2DE252E9"/>
    <w:rsid w:val="2E4F0C34"/>
    <w:rsid w:val="2F0903FB"/>
    <w:rsid w:val="2FA572A9"/>
    <w:rsid w:val="2FC127BE"/>
    <w:rsid w:val="30405223"/>
    <w:rsid w:val="30D20F4E"/>
    <w:rsid w:val="31126BC0"/>
    <w:rsid w:val="32BA12BD"/>
    <w:rsid w:val="331A7FAD"/>
    <w:rsid w:val="33615BDC"/>
    <w:rsid w:val="33A04957"/>
    <w:rsid w:val="33D2657B"/>
    <w:rsid w:val="34052013"/>
    <w:rsid w:val="349A13A6"/>
    <w:rsid w:val="34E00D83"/>
    <w:rsid w:val="3509357D"/>
    <w:rsid w:val="35431E90"/>
    <w:rsid w:val="35496C49"/>
    <w:rsid w:val="35A20F82"/>
    <w:rsid w:val="366F0610"/>
    <w:rsid w:val="36A209E6"/>
    <w:rsid w:val="37152903"/>
    <w:rsid w:val="374C7490"/>
    <w:rsid w:val="37DD407E"/>
    <w:rsid w:val="37FC5ED4"/>
    <w:rsid w:val="38D421D8"/>
    <w:rsid w:val="38DE08C5"/>
    <w:rsid w:val="39282A8A"/>
    <w:rsid w:val="39673D33"/>
    <w:rsid w:val="3A0010C7"/>
    <w:rsid w:val="3AC77F71"/>
    <w:rsid w:val="3B5B347E"/>
    <w:rsid w:val="3BCC0E66"/>
    <w:rsid w:val="3BD34656"/>
    <w:rsid w:val="3BFA4E20"/>
    <w:rsid w:val="3D217ABE"/>
    <w:rsid w:val="3E18718B"/>
    <w:rsid w:val="3ED6747E"/>
    <w:rsid w:val="3F92266E"/>
    <w:rsid w:val="401716E8"/>
    <w:rsid w:val="40D21EC7"/>
    <w:rsid w:val="412B13DD"/>
    <w:rsid w:val="412F0C12"/>
    <w:rsid w:val="41780276"/>
    <w:rsid w:val="420261D9"/>
    <w:rsid w:val="42F85996"/>
    <w:rsid w:val="43511AA8"/>
    <w:rsid w:val="439B2A45"/>
    <w:rsid w:val="43D34118"/>
    <w:rsid w:val="44231FA6"/>
    <w:rsid w:val="448D0F53"/>
    <w:rsid w:val="44DE38B5"/>
    <w:rsid w:val="4663230A"/>
    <w:rsid w:val="46765F73"/>
    <w:rsid w:val="46F9221A"/>
    <w:rsid w:val="47730927"/>
    <w:rsid w:val="479B74B7"/>
    <w:rsid w:val="47A83982"/>
    <w:rsid w:val="47CA7D9C"/>
    <w:rsid w:val="48B30830"/>
    <w:rsid w:val="48BF0F83"/>
    <w:rsid w:val="48EE4383"/>
    <w:rsid w:val="4A41440D"/>
    <w:rsid w:val="4C3103EA"/>
    <w:rsid w:val="4D4431DF"/>
    <w:rsid w:val="4DD23507"/>
    <w:rsid w:val="4DE1130A"/>
    <w:rsid w:val="4DF96CE5"/>
    <w:rsid w:val="4E1D7A69"/>
    <w:rsid w:val="4E376CA7"/>
    <w:rsid w:val="4EA61DB4"/>
    <w:rsid w:val="4FCD2534"/>
    <w:rsid w:val="500B0F52"/>
    <w:rsid w:val="50CC6933"/>
    <w:rsid w:val="511902DC"/>
    <w:rsid w:val="521A1920"/>
    <w:rsid w:val="52DB10B0"/>
    <w:rsid w:val="53B13BBE"/>
    <w:rsid w:val="54B637FF"/>
    <w:rsid w:val="5709702F"/>
    <w:rsid w:val="5814240D"/>
    <w:rsid w:val="59101387"/>
    <w:rsid w:val="59EC4EE4"/>
    <w:rsid w:val="59FD7B5D"/>
    <w:rsid w:val="5A0E3B19"/>
    <w:rsid w:val="5A551748"/>
    <w:rsid w:val="5B7B5B4F"/>
    <w:rsid w:val="5D074DE8"/>
    <w:rsid w:val="5D6B648E"/>
    <w:rsid w:val="5E535813"/>
    <w:rsid w:val="5E8A2C68"/>
    <w:rsid w:val="5FB9551D"/>
    <w:rsid w:val="5FBA3DFB"/>
    <w:rsid w:val="602F47E9"/>
    <w:rsid w:val="60FF5C09"/>
    <w:rsid w:val="614D13CA"/>
    <w:rsid w:val="61B92F94"/>
    <w:rsid w:val="61CA69A5"/>
    <w:rsid w:val="63D15422"/>
    <w:rsid w:val="644D659F"/>
    <w:rsid w:val="6511270F"/>
    <w:rsid w:val="669B2BD8"/>
    <w:rsid w:val="66D24120"/>
    <w:rsid w:val="67430B7A"/>
    <w:rsid w:val="684725D9"/>
    <w:rsid w:val="691325B9"/>
    <w:rsid w:val="69162209"/>
    <w:rsid w:val="692340AF"/>
    <w:rsid w:val="69A85122"/>
    <w:rsid w:val="6A771266"/>
    <w:rsid w:val="6B4677C2"/>
    <w:rsid w:val="6B9A27C3"/>
    <w:rsid w:val="6BE50451"/>
    <w:rsid w:val="6CF7668E"/>
    <w:rsid w:val="6D8819DC"/>
    <w:rsid w:val="6DF130DE"/>
    <w:rsid w:val="6E08300B"/>
    <w:rsid w:val="6E4771A1"/>
    <w:rsid w:val="6F9E1043"/>
    <w:rsid w:val="703C7978"/>
    <w:rsid w:val="710D6480"/>
    <w:rsid w:val="71663954"/>
    <w:rsid w:val="71A53FE8"/>
    <w:rsid w:val="71AF7537"/>
    <w:rsid w:val="71DB5478"/>
    <w:rsid w:val="71E013C2"/>
    <w:rsid w:val="73B53D31"/>
    <w:rsid w:val="73BF4748"/>
    <w:rsid w:val="747F3B60"/>
    <w:rsid w:val="75526B58"/>
    <w:rsid w:val="758374EC"/>
    <w:rsid w:val="76C07AF1"/>
    <w:rsid w:val="771657CE"/>
    <w:rsid w:val="7719666B"/>
    <w:rsid w:val="77C843CF"/>
    <w:rsid w:val="785E4CBC"/>
    <w:rsid w:val="79254F87"/>
    <w:rsid w:val="796F0760"/>
    <w:rsid w:val="798412AA"/>
    <w:rsid w:val="7A155EA4"/>
    <w:rsid w:val="7A8A280C"/>
    <w:rsid w:val="7B68276C"/>
    <w:rsid w:val="7CC4758A"/>
    <w:rsid w:val="7D474AC8"/>
    <w:rsid w:val="7D4B54AF"/>
    <w:rsid w:val="7DAB5041"/>
    <w:rsid w:val="7E0043A1"/>
    <w:rsid w:val="7E45302F"/>
    <w:rsid w:val="7E5D031B"/>
    <w:rsid w:val="7E76122B"/>
    <w:rsid w:val="7E846BE6"/>
    <w:rsid w:val="7E8A65FD"/>
    <w:rsid w:val="7F4357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qFormat/>
    <w:uiPriority w:val="99"/>
    <w:pPr>
      <w:ind w:firstLine="420" w:firstLineChars="100"/>
    </w:pPr>
  </w:style>
  <w:style w:type="paragraph" w:styleId="3">
    <w:name w:val="Body Text"/>
    <w:basedOn w:val="1"/>
    <w:qFormat/>
    <w:uiPriority w:val="99"/>
    <w:pPr>
      <w:spacing w:after="120"/>
      <w:ind w:firstLine="200"/>
    </w:pPr>
  </w:style>
  <w:style w:type="paragraph" w:styleId="4">
    <w:name w:val="Balloon Text"/>
    <w:basedOn w:val="1"/>
    <w:link w:val="9"/>
    <w:uiPriority w:val="0"/>
    <w:rPr>
      <w:sz w:val="18"/>
      <w:szCs w:val="18"/>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9">
    <w:name w:val="批注框文本 Char"/>
    <w:basedOn w:val="8"/>
    <w:link w:val="4"/>
    <w:qFormat/>
    <w:uiPriority w:val="0"/>
    <w:rPr>
      <w:rFonts w:ascii="Times New Roman" w:hAnsi="Times New Roman" w:eastAsia="仿宋_GB2312" w:cs="Times New Roman"/>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GIF"/><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Pages>
  <Words>1613</Words>
  <Characters>1673</Characters>
  <Lines>10</Lines>
  <Paragraphs>3</Paragraphs>
  <TotalTime>19</TotalTime>
  <ScaleCrop>false</ScaleCrop>
  <LinksUpToDate>false</LinksUpToDate>
  <CharactersWithSpaces>1690</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小F</cp:lastModifiedBy>
  <dcterms:modified xsi:type="dcterms:W3CDTF">2022-09-01T05:50:46Z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977B52CDCA6F4FF7A9EE28395DC7926F</vt:lpwstr>
  </property>
</Properties>
</file>