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3991" w:rsidRDefault="00CD3991">
      <w:pPr>
        <w:snapToGrid w:val="0"/>
        <w:spacing w:line="288" w:lineRule="auto"/>
        <w:rPr>
          <w:rFonts w:ascii="宋体" w:eastAsia="宋体" w:hAnsi="宋体" w:cs="宋体"/>
          <w:b/>
          <w:bCs/>
          <w:color w:val="000000"/>
          <w:sz w:val="21"/>
          <w:szCs w:val="21"/>
        </w:rPr>
      </w:pPr>
    </w:p>
    <w:p w:rsidR="00CD3991" w:rsidRDefault="00D308C6">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w:t>
      </w:r>
      <w:r>
        <w:rPr>
          <w:rFonts w:ascii="宋体" w:eastAsia="宋体" w:hAnsi="宋体" w:cs="宋体" w:hint="eastAsia"/>
          <w:b/>
          <w:bCs/>
          <w:color w:val="000000"/>
          <w:sz w:val="21"/>
          <w:szCs w:val="21"/>
        </w:rPr>
        <w:t>类</w:t>
      </w:r>
      <w:r>
        <w:rPr>
          <w:rFonts w:ascii="宋体" w:eastAsia="宋体" w:hAnsi="宋体" w:cs="宋体" w:hint="eastAsia"/>
          <w:b/>
          <w:bCs/>
          <w:color w:val="000000"/>
          <w:sz w:val="21"/>
          <w:szCs w:val="21"/>
        </w:rPr>
        <w:t xml:space="preserve">  </w:t>
      </w:r>
      <w:r>
        <w:rPr>
          <w:rFonts w:ascii="宋体" w:eastAsia="宋体" w:hAnsi="宋体" w:cs="宋体" w:hint="eastAsia"/>
          <w:b/>
          <w:bCs/>
          <w:color w:val="000000"/>
          <w:sz w:val="21"/>
          <w:szCs w:val="21"/>
        </w:rPr>
        <w:t>型</w:t>
      </w:r>
      <w:r>
        <w:rPr>
          <w:rFonts w:ascii="宋体" w:eastAsia="宋体" w:hAnsi="宋体" w:cs="宋体" w:hint="eastAsia"/>
          <w:b/>
          <w:bCs/>
          <w:color w:val="000000"/>
          <w:sz w:val="21"/>
          <w:szCs w:val="21"/>
        </w:rPr>
        <w:t>]</w:t>
      </w:r>
      <w:r>
        <w:rPr>
          <w:rFonts w:ascii="宋体" w:eastAsia="宋体" w:hAnsi="宋体" w:cs="宋体" w:hint="eastAsia"/>
          <w:color w:val="000000"/>
          <w:sz w:val="21"/>
          <w:szCs w:val="21"/>
        </w:rPr>
        <w:t>设备工具微改造</w:t>
      </w:r>
    </w:p>
    <w:p w:rsidR="00CD3991" w:rsidRDefault="00D308C6">
      <w:pPr>
        <w:snapToGrid w:val="0"/>
        <w:spacing w:line="288" w:lineRule="auto"/>
        <w:rPr>
          <w:rFonts w:ascii="宋体" w:eastAsia="宋体" w:hAnsi="宋体" w:cs="宋体"/>
          <w:color w:val="000000"/>
          <w:sz w:val="21"/>
          <w:szCs w:val="21"/>
        </w:rPr>
      </w:pPr>
      <w:r>
        <w:rPr>
          <w:rFonts w:ascii="宋体" w:eastAsia="宋体" w:hAnsi="宋体" w:cs="宋体" w:hint="eastAsia"/>
          <w:b/>
          <w:bCs/>
          <w:color w:val="000000"/>
          <w:sz w:val="21"/>
          <w:szCs w:val="21"/>
        </w:rPr>
        <w:t>[</w:t>
      </w:r>
      <w:r>
        <w:rPr>
          <w:rFonts w:ascii="宋体" w:eastAsia="宋体" w:hAnsi="宋体" w:cs="宋体" w:hint="eastAsia"/>
          <w:b/>
          <w:bCs/>
          <w:color w:val="000000"/>
          <w:sz w:val="21"/>
          <w:szCs w:val="21"/>
        </w:rPr>
        <w:t>关键词</w:t>
      </w:r>
      <w:r>
        <w:rPr>
          <w:rFonts w:ascii="宋体" w:eastAsia="宋体" w:hAnsi="宋体" w:cs="宋体" w:hint="eastAsia"/>
          <w:b/>
          <w:bCs/>
          <w:color w:val="000000"/>
          <w:sz w:val="21"/>
          <w:szCs w:val="21"/>
        </w:rPr>
        <w:t>]</w:t>
      </w:r>
      <w:r>
        <w:rPr>
          <w:rFonts w:ascii="宋体" w:eastAsia="宋体" w:hAnsi="宋体" w:cs="宋体" w:hint="eastAsia"/>
          <w:color w:val="000000"/>
          <w:sz w:val="21"/>
          <w:szCs w:val="21"/>
        </w:rPr>
        <w:t xml:space="preserve"> </w:t>
      </w:r>
      <w:r>
        <w:rPr>
          <w:rFonts w:ascii="宋体" w:eastAsia="宋体" w:hAnsi="宋体" w:cs="宋体" w:hint="eastAsia"/>
          <w:color w:val="000000"/>
          <w:sz w:val="21"/>
          <w:szCs w:val="21"/>
        </w:rPr>
        <w:t>内河，管桩，浮式，定位导向架</w:t>
      </w:r>
    </w:p>
    <w:p w:rsidR="00CD3991" w:rsidRDefault="00CD3991">
      <w:pPr>
        <w:snapToGrid w:val="0"/>
        <w:spacing w:line="288" w:lineRule="auto"/>
        <w:rPr>
          <w:rFonts w:ascii="方正小标宋简体" w:eastAsia="方正小标宋简体" w:hAnsi="方正小标宋简体" w:cs="方正小标宋简体"/>
          <w:color w:val="000000"/>
          <w:sz w:val="21"/>
          <w:szCs w:val="21"/>
        </w:rPr>
      </w:pPr>
    </w:p>
    <w:p w:rsidR="00CD3991" w:rsidRDefault="00D308C6" w:rsidP="00851BFF">
      <w:pPr>
        <w:spacing w:beforeLines="50"/>
        <w:jc w:val="center"/>
        <w:rPr>
          <w:rFonts w:ascii="方正小标宋简体" w:eastAsia="方正小标宋简体" w:hAnsi="方正小标宋简体" w:cs="方正小标宋简体"/>
          <w:color w:val="000000"/>
          <w:szCs w:val="32"/>
        </w:rPr>
      </w:pPr>
      <w:r>
        <w:rPr>
          <w:rFonts w:ascii="方正小标宋简体" w:eastAsia="方正小标宋简体" w:hAnsi="方正小标宋简体" w:cs="方正小标宋简体" w:hint="eastAsia"/>
          <w:color w:val="000000"/>
          <w:szCs w:val="32"/>
        </w:rPr>
        <w:t>内河水上管桩沉桩浮式定位导向架</w:t>
      </w:r>
    </w:p>
    <w:p w:rsidR="00CD3991" w:rsidRDefault="00D308C6" w:rsidP="00851BFF">
      <w:pPr>
        <w:spacing w:beforeLines="50"/>
        <w:jc w:val="center"/>
        <w:rPr>
          <w:sz w:val="24"/>
        </w:rPr>
      </w:pPr>
      <w:r>
        <w:rPr>
          <w:rFonts w:hint="eastAsia"/>
          <w:sz w:val="24"/>
        </w:rPr>
        <w:t>JWC202</w:t>
      </w:r>
      <w:r w:rsidR="00851BFF">
        <w:rPr>
          <w:rFonts w:hint="eastAsia"/>
          <w:sz w:val="24"/>
        </w:rPr>
        <w:t>1</w:t>
      </w:r>
      <w:r>
        <w:rPr>
          <w:rFonts w:hint="eastAsia"/>
          <w:sz w:val="24"/>
        </w:rPr>
        <w:t>-</w:t>
      </w:r>
      <w:r>
        <w:rPr>
          <w:rFonts w:hint="eastAsia"/>
          <w:sz w:val="24"/>
        </w:rPr>
        <w:t>067</w:t>
      </w:r>
    </w:p>
    <w:p w:rsidR="00CD3991" w:rsidRDefault="00D308C6" w:rsidP="00851BFF">
      <w:pPr>
        <w:spacing w:beforeLines="50"/>
        <w:jc w:val="center"/>
        <w:rPr>
          <w:rFonts w:ascii="黑体" w:eastAsia="黑体" w:hAnsi="黑体" w:cs="黑体"/>
          <w:sz w:val="24"/>
        </w:rPr>
      </w:pPr>
      <w:r>
        <w:rPr>
          <w:rFonts w:ascii="黑体" w:eastAsia="黑体" w:hAnsi="黑体" w:cs="黑体" w:hint="eastAsia"/>
          <w:sz w:val="24"/>
        </w:rPr>
        <w:t>常州市港航事业发展中心</w:t>
      </w:r>
    </w:p>
    <w:p w:rsidR="00CD3991" w:rsidRDefault="00D308C6" w:rsidP="00851BFF">
      <w:pPr>
        <w:spacing w:beforeLines="50"/>
        <w:jc w:val="center"/>
        <w:rPr>
          <w:sz w:val="24"/>
        </w:rPr>
      </w:pPr>
      <w:r>
        <w:rPr>
          <w:rFonts w:hint="eastAsia"/>
          <w:sz w:val="24"/>
        </w:rPr>
        <w:t>马恒、朱红亮、屠俊刚、郑敏、雍迅</w:t>
      </w:r>
    </w:p>
    <w:p w:rsidR="00CD3991" w:rsidRDefault="00CD3991" w:rsidP="00851BFF">
      <w:pPr>
        <w:spacing w:beforeLines="50"/>
        <w:jc w:val="center"/>
        <w:rPr>
          <w:sz w:val="24"/>
        </w:rPr>
      </w:pPr>
    </w:p>
    <w:p w:rsidR="00CD3991" w:rsidRDefault="00D308C6" w:rsidP="00851BFF">
      <w:pPr>
        <w:spacing w:beforeLines="50" w:afterLines="50" w:line="360" w:lineRule="auto"/>
        <w:jc w:val="center"/>
        <w:rPr>
          <w:rFonts w:ascii="黑体" w:eastAsia="黑体" w:hAnsi="黑体" w:cs="黑体"/>
          <w:b/>
          <w:bCs/>
          <w:color w:val="002060"/>
          <w:sz w:val="24"/>
        </w:rPr>
      </w:pPr>
      <w:r>
        <w:rPr>
          <w:rFonts w:ascii="黑体" w:eastAsia="黑体" w:hAnsi="黑体" w:cs="黑体" w:hint="eastAsia"/>
          <w:b/>
          <w:bCs/>
          <w:color w:val="002060"/>
          <w:sz w:val="24"/>
        </w:rPr>
        <w:t>1.</w:t>
      </w:r>
      <w:r>
        <w:rPr>
          <w:rFonts w:ascii="黑体" w:eastAsia="黑体" w:hAnsi="黑体" w:cs="黑体" w:hint="eastAsia"/>
          <w:b/>
          <w:bCs/>
          <w:color w:val="002060"/>
          <w:sz w:val="24"/>
        </w:rPr>
        <w:t>成果简介</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1.1</w:t>
      </w:r>
      <w:r>
        <w:rPr>
          <w:rFonts w:ascii="宋体" w:eastAsia="宋体" w:hAnsi="宋体" w:cs="宋体" w:hint="eastAsia"/>
          <w:b/>
          <w:bCs/>
          <w:sz w:val="22"/>
          <w:szCs w:val="22"/>
        </w:rPr>
        <w:t>技术背景</w:t>
      </w:r>
    </w:p>
    <w:p w:rsidR="00CD3991" w:rsidRDefault="00D308C6">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传统沉桩导向架结构复杂，组装及吊运费时费工，受潮位影响较大并且需要吊机及工人随时配合，沉桩效率低，成本较高，难以在作业空间受限的内河水域适应大体量的沉桩施工。通过设计一种能满足不同水位沉桩的无需组装的浮式导向架，通过水的浮力实现导向架的受力平衡，简化导向架结构，仅需极少的人机配合便能实现准确沉桩定位下的连续作业，每天能实现连续沉桩</w:t>
      </w:r>
      <w:r>
        <w:rPr>
          <w:rFonts w:ascii="宋体" w:eastAsia="宋体" w:hAnsi="宋体" w:cs="宋体" w:hint="eastAsia"/>
          <w:sz w:val="22"/>
          <w:szCs w:val="22"/>
        </w:rPr>
        <w:t>100</w:t>
      </w:r>
      <w:r>
        <w:rPr>
          <w:rFonts w:ascii="宋体" w:eastAsia="宋体" w:hAnsi="宋体" w:cs="宋体" w:hint="eastAsia"/>
          <w:sz w:val="22"/>
          <w:szCs w:val="22"/>
        </w:rPr>
        <w:t>根以上，大大提高了沉桩效率，并保证了沉桩的线型及精度。</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1.2</w:t>
      </w:r>
      <w:r>
        <w:rPr>
          <w:rFonts w:ascii="宋体" w:eastAsia="宋体" w:hAnsi="宋体" w:cs="宋体" w:hint="eastAsia"/>
          <w:b/>
          <w:bCs/>
          <w:sz w:val="22"/>
          <w:szCs w:val="22"/>
        </w:rPr>
        <w:t>解决的主要问题</w:t>
      </w:r>
    </w:p>
    <w:p w:rsidR="00CD3991" w:rsidRDefault="00D308C6">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1</w:t>
      </w:r>
      <w:r>
        <w:rPr>
          <w:rFonts w:ascii="宋体" w:eastAsia="宋体" w:hAnsi="宋体" w:cs="宋体" w:hint="eastAsia"/>
          <w:sz w:val="22"/>
          <w:szCs w:val="22"/>
        </w:rPr>
        <w:t>）优化了导向架结构受力形式，以简单的浮筒取代了复杂的钢桁架结构，减少了制作钢材用量，降低了制</w:t>
      </w:r>
      <w:r>
        <w:rPr>
          <w:rFonts w:ascii="宋体" w:eastAsia="宋体" w:hAnsi="宋体" w:cs="宋体" w:hint="eastAsia"/>
          <w:sz w:val="22"/>
          <w:szCs w:val="22"/>
        </w:rPr>
        <w:t>作成本及缩短了制作周期。</w:t>
      </w:r>
    </w:p>
    <w:p w:rsidR="00CD3991" w:rsidRDefault="00D308C6">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2</w:t>
      </w:r>
      <w:r>
        <w:rPr>
          <w:rFonts w:ascii="宋体" w:eastAsia="宋体" w:hAnsi="宋体" w:cs="宋体" w:hint="eastAsia"/>
          <w:sz w:val="22"/>
          <w:szCs w:val="22"/>
        </w:rPr>
        <w:t>）通过移动导桩套对待沉桩逐根定位导向，起到了水上管桩沉桩快速定位、精确导向的目的。</w:t>
      </w:r>
    </w:p>
    <w:p w:rsidR="00CD3991" w:rsidRDefault="00D308C6">
      <w:pPr>
        <w:spacing w:line="312" w:lineRule="auto"/>
        <w:ind w:firstLineChars="200" w:firstLine="440"/>
        <w:rPr>
          <w:rFonts w:ascii="宋体" w:eastAsia="宋体" w:hAnsi="宋体" w:cs="宋体"/>
          <w:sz w:val="22"/>
          <w:szCs w:val="22"/>
        </w:rPr>
      </w:pPr>
      <w:r>
        <w:rPr>
          <w:rFonts w:ascii="宋体" w:eastAsia="宋体" w:hAnsi="宋体" w:cs="宋体" w:hint="eastAsia"/>
          <w:sz w:val="22"/>
          <w:szCs w:val="22"/>
        </w:rPr>
        <w:t>（</w:t>
      </w:r>
      <w:r>
        <w:rPr>
          <w:rFonts w:ascii="宋体" w:eastAsia="宋体" w:hAnsi="宋体" w:cs="宋体" w:hint="eastAsia"/>
          <w:sz w:val="22"/>
          <w:szCs w:val="22"/>
        </w:rPr>
        <w:t>3</w:t>
      </w:r>
      <w:r>
        <w:rPr>
          <w:rFonts w:ascii="宋体" w:eastAsia="宋体" w:hAnsi="宋体" w:cs="宋体" w:hint="eastAsia"/>
          <w:sz w:val="22"/>
          <w:szCs w:val="22"/>
        </w:rPr>
        <w:t>）在不降低施工质量的前提下，使得占用航道的时间缩短、占用水域的面积缩小，也就使得施工及船舶航行更加安全。</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1.3</w:t>
      </w:r>
      <w:r>
        <w:rPr>
          <w:rFonts w:ascii="宋体" w:eastAsia="宋体" w:hAnsi="宋体" w:cs="宋体" w:hint="eastAsia"/>
          <w:b/>
          <w:bCs/>
          <w:sz w:val="22"/>
          <w:szCs w:val="22"/>
        </w:rPr>
        <w:t>适用范围</w:t>
      </w:r>
    </w:p>
    <w:p w:rsidR="00CD3991" w:rsidRDefault="00D308C6">
      <w:pPr>
        <w:spacing w:line="312" w:lineRule="auto"/>
        <w:ind w:firstLineChars="200" w:firstLine="440"/>
        <w:outlineLvl w:val="1"/>
        <w:rPr>
          <w:rFonts w:ascii="宋体" w:eastAsia="宋体" w:hAnsi="宋体" w:cs="宋体"/>
          <w:color w:val="000000"/>
          <w:sz w:val="22"/>
          <w:szCs w:val="22"/>
        </w:rPr>
      </w:pPr>
      <w:r>
        <w:rPr>
          <w:rFonts w:ascii="宋体" w:eastAsia="宋体" w:hAnsi="宋体" w:cs="宋体" w:hint="eastAsia"/>
          <w:color w:val="000000"/>
          <w:sz w:val="22"/>
          <w:szCs w:val="22"/>
        </w:rPr>
        <w:t>可应用于风浪较小的内河水域并且桩基础为直桩的施工区域。</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1.4</w:t>
      </w:r>
      <w:r>
        <w:rPr>
          <w:rFonts w:ascii="宋体" w:eastAsia="宋体" w:hAnsi="宋体" w:cs="宋体" w:hint="eastAsia"/>
          <w:b/>
          <w:bCs/>
          <w:sz w:val="22"/>
          <w:szCs w:val="22"/>
        </w:rPr>
        <w:t>技术特点</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（一）</w:t>
      </w:r>
      <w:r>
        <w:rPr>
          <w:rFonts w:ascii="宋体" w:eastAsia="宋体" w:hAnsi="宋体" w:cs="宋体" w:hint="eastAsia"/>
          <w:color w:val="000000"/>
          <w:sz w:val="22"/>
          <w:szCs w:val="22"/>
        </w:rPr>
        <w:t xml:space="preserve"> </w:t>
      </w:r>
      <w:r>
        <w:rPr>
          <w:rFonts w:ascii="宋体" w:eastAsia="宋体" w:hAnsi="宋体" w:cs="宋体" w:hint="eastAsia"/>
          <w:color w:val="000000"/>
          <w:sz w:val="22"/>
          <w:szCs w:val="22"/>
        </w:rPr>
        <w:t>创新导向架结构受力形式</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本装置依据浮力平衡原理实现了导向架的漂浮定位，该受力形式上的创新少见报端。由于使用过程中浮式导向架重力及浮力相互平衡弯矩及应力接近于</w:t>
      </w:r>
      <w:r>
        <w:rPr>
          <w:rFonts w:ascii="宋体" w:eastAsia="宋体" w:hAnsi="宋体" w:cs="宋体" w:hint="eastAsia"/>
          <w:color w:val="000000"/>
          <w:sz w:val="22"/>
          <w:szCs w:val="22"/>
        </w:rPr>
        <w:t>0</w:t>
      </w:r>
      <w:r>
        <w:rPr>
          <w:rFonts w:ascii="宋体" w:eastAsia="宋体" w:hAnsi="宋体" w:cs="宋体" w:hint="eastAsia"/>
          <w:color w:val="000000"/>
          <w:sz w:val="22"/>
          <w:szCs w:val="22"/>
        </w:rPr>
        <w:t>，因此钢材强度及刚度要求显著降低，仅用简单的浮筒结构就可以取代传统导向架复杂的辅助桩结合</w:t>
      </w:r>
      <w:r>
        <w:rPr>
          <w:rFonts w:ascii="宋体" w:eastAsia="宋体" w:hAnsi="宋体" w:cs="宋体" w:hint="eastAsia"/>
          <w:color w:val="000000"/>
          <w:sz w:val="22"/>
          <w:szCs w:val="22"/>
        </w:rPr>
        <w:t>H</w:t>
      </w:r>
      <w:r>
        <w:rPr>
          <w:rFonts w:ascii="宋体" w:eastAsia="宋体" w:hAnsi="宋体" w:cs="宋体" w:hint="eastAsia"/>
          <w:color w:val="000000"/>
          <w:sz w:val="22"/>
          <w:szCs w:val="22"/>
        </w:rPr>
        <w:t>型钢主梁结构，减少了辅助桩施打环节。</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（二）</w:t>
      </w:r>
      <w:r>
        <w:rPr>
          <w:rFonts w:ascii="宋体" w:eastAsia="宋体" w:hAnsi="宋体" w:cs="宋体" w:hint="eastAsia"/>
          <w:color w:val="000000"/>
          <w:sz w:val="22"/>
          <w:szCs w:val="22"/>
        </w:rPr>
        <w:t xml:space="preserve"> </w:t>
      </w:r>
      <w:r>
        <w:rPr>
          <w:rFonts w:ascii="宋体" w:eastAsia="宋体" w:hAnsi="宋体" w:cs="宋体" w:hint="eastAsia"/>
          <w:color w:val="000000"/>
          <w:sz w:val="22"/>
          <w:szCs w:val="22"/>
        </w:rPr>
        <w:t>创新导向架固定方式及安装方式</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浮式导向架由于重力被水的浮力所平衡无需考虑定位桩承载能力的要求，仅需要通过头尾的两根定位桩对导向架进行平面限位，无需安装固定装置。另一方面导向架内每根桩的定位通过可移动的导</w:t>
      </w:r>
      <w:r>
        <w:rPr>
          <w:rFonts w:ascii="宋体" w:eastAsia="宋体" w:hAnsi="宋体" w:cs="宋体" w:hint="eastAsia"/>
          <w:color w:val="000000"/>
          <w:sz w:val="22"/>
          <w:szCs w:val="22"/>
        </w:rPr>
        <w:lastRenderedPageBreak/>
        <w:t>桩套及焊接在浮筒上的定位槽钢进行精准定位</w:t>
      </w:r>
      <w:r>
        <w:rPr>
          <w:rFonts w:ascii="宋体" w:eastAsia="宋体" w:hAnsi="宋体" w:cs="宋体" w:hint="eastAsia"/>
          <w:color w:val="000000"/>
          <w:sz w:val="22"/>
          <w:szCs w:val="22"/>
        </w:rPr>
        <w:t>，较传统每个桩位焊接定位桩套的方式降低了用钢量约</w:t>
      </w:r>
      <w:r>
        <w:rPr>
          <w:rFonts w:ascii="宋体" w:eastAsia="宋体" w:hAnsi="宋体" w:cs="宋体" w:hint="eastAsia"/>
          <w:color w:val="000000"/>
          <w:sz w:val="22"/>
          <w:szCs w:val="22"/>
        </w:rPr>
        <w:t>700kg</w:t>
      </w:r>
      <w:r>
        <w:rPr>
          <w:rFonts w:ascii="宋体" w:eastAsia="宋体" w:hAnsi="宋体" w:cs="宋体" w:hint="eastAsia"/>
          <w:color w:val="000000"/>
          <w:sz w:val="22"/>
          <w:szCs w:val="22"/>
        </w:rPr>
        <w:t>。由于优化后的导向架重量轻，一个桩段施工完成后直接套入下个桩段的定位桩即可连续施工，无需拆卸及重新固定。</w:t>
      </w:r>
      <w:r>
        <w:rPr>
          <w:rFonts w:ascii="宋体" w:eastAsia="宋体" w:hAnsi="宋体" w:cs="宋体" w:hint="eastAsia"/>
          <w:color w:val="000000"/>
          <w:sz w:val="22"/>
          <w:szCs w:val="22"/>
        </w:rPr>
        <w:t xml:space="preserve"> </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（三）</w:t>
      </w:r>
      <w:r>
        <w:rPr>
          <w:rFonts w:ascii="宋体" w:eastAsia="宋体" w:hAnsi="宋体" w:cs="宋体" w:hint="eastAsia"/>
          <w:color w:val="000000"/>
          <w:sz w:val="22"/>
          <w:szCs w:val="22"/>
        </w:rPr>
        <w:t xml:space="preserve"> </w:t>
      </w:r>
      <w:r>
        <w:rPr>
          <w:rFonts w:ascii="宋体" w:eastAsia="宋体" w:hAnsi="宋体" w:cs="宋体" w:hint="eastAsia"/>
          <w:color w:val="000000"/>
          <w:sz w:val="22"/>
          <w:szCs w:val="22"/>
        </w:rPr>
        <w:t>创新沉桩定位及垂直度控制方式</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每根桩的定位通过焊接在浮筒上的定位槽钢确定，只需在导向架制作完成后对定位槽钢位置进行一次复核，沉桩过程中除定位桩外无需复核其他桩位。另一方面，漂浮在水面上的浮筒受重力作用自然保持水平状态，而与浮筒垂直的导桩套自然保持垂直状态，沉桩的垂直度因此得到有效控制。使用后平面定位及垂直度控制精度较逐根定位施打分别提高</w:t>
      </w:r>
      <w:r>
        <w:rPr>
          <w:rFonts w:ascii="宋体" w:eastAsia="宋体" w:hAnsi="宋体" w:cs="宋体" w:hint="eastAsia"/>
          <w:color w:val="000000"/>
          <w:sz w:val="22"/>
          <w:szCs w:val="22"/>
        </w:rPr>
        <w:t>了</w:t>
      </w:r>
      <w:r>
        <w:rPr>
          <w:rFonts w:ascii="宋体" w:eastAsia="宋体" w:hAnsi="宋体" w:cs="宋体" w:hint="eastAsia"/>
          <w:color w:val="000000"/>
          <w:sz w:val="22"/>
          <w:szCs w:val="22"/>
        </w:rPr>
        <w:t>47%</w:t>
      </w:r>
      <w:r>
        <w:rPr>
          <w:rFonts w:ascii="宋体" w:eastAsia="宋体" w:hAnsi="宋体" w:cs="宋体" w:hint="eastAsia"/>
          <w:color w:val="000000"/>
          <w:sz w:val="22"/>
          <w:szCs w:val="22"/>
        </w:rPr>
        <w:t>及</w:t>
      </w:r>
      <w:r>
        <w:rPr>
          <w:rFonts w:ascii="宋体" w:eastAsia="宋体" w:hAnsi="宋体" w:cs="宋体" w:hint="eastAsia"/>
          <w:color w:val="000000"/>
          <w:sz w:val="22"/>
          <w:szCs w:val="22"/>
        </w:rPr>
        <w:t>38%</w:t>
      </w:r>
      <w:r>
        <w:rPr>
          <w:rFonts w:ascii="宋体" w:eastAsia="宋体" w:hAnsi="宋体" w:cs="宋体" w:hint="eastAsia"/>
          <w:color w:val="000000"/>
          <w:sz w:val="22"/>
          <w:szCs w:val="22"/>
        </w:rPr>
        <w:t>。</w:t>
      </w:r>
    </w:p>
    <w:p w:rsidR="00CD3991" w:rsidRDefault="00D308C6" w:rsidP="00851BFF">
      <w:pPr>
        <w:spacing w:beforeLines="50" w:afterLines="50" w:line="360" w:lineRule="auto"/>
        <w:jc w:val="center"/>
        <w:rPr>
          <w:rFonts w:ascii="黑体" w:eastAsia="黑体" w:hAnsi="黑体" w:cs="黑体"/>
          <w:b/>
          <w:bCs/>
          <w:color w:val="002060"/>
          <w:sz w:val="24"/>
        </w:rPr>
      </w:pPr>
      <w:r>
        <w:rPr>
          <w:rFonts w:ascii="黑体" w:eastAsia="黑体" w:hAnsi="黑体" w:cs="黑体" w:hint="eastAsia"/>
          <w:b/>
          <w:bCs/>
          <w:color w:val="002060"/>
          <w:sz w:val="24"/>
        </w:rPr>
        <w:t>2.</w:t>
      </w:r>
      <w:r>
        <w:rPr>
          <w:rFonts w:ascii="黑体" w:eastAsia="黑体" w:hAnsi="黑体" w:cs="黑体" w:hint="eastAsia"/>
          <w:b/>
          <w:bCs/>
          <w:color w:val="002060"/>
          <w:sz w:val="24"/>
        </w:rPr>
        <w:t>技术内容</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2.1</w:t>
      </w:r>
      <w:r>
        <w:rPr>
          <w:rFonts w:ascii="宋体" w:eastAsia="宋体" w:hAnsi="宋体" w:cs="宋体" w:hint="eastAsia"/>
          <w:b/>
          <w:bCs/>
          <w:sz w:val="22"/>
          <w:szCs w:val="22"/>
        </w:rPr>
        <w:t>技术原理</w:t>
      </w:r>
    </w:p>
    <w:p w:rsidR="00CD3991" w:rsidRDefault="00D308C6">
      <w:pPr>
        <w:spacing w:line="312" w:lineRule="auto"/>
        <w:ind w:firstLineChars="200" w:firstLine="440"/>
        <w:jc w:val="left"/>
        <w:rPr>
          <w:rFonts w:ascii="宋体" w:eastAsia="宋体" w:hAnsi="宋体" w:cs="宋体"/>
          <w:sz w:val="22"/>
          <w:szCs w:val="22"/>
        </w:rPr>
      </w:pPr>
      <w:r>
        <w:rPr>
          <w:rFonts w:ascii="宋体" w:eastAsia="宋体" w:hAnsi="宋体" w:cs="宋体" w:hint="eastAsia"/>
          <w:sz w:val="22"/>
          <w:szCs w:val="22"/>
        </w:rPr>
        <w:t>浮筒由两根钢管端部焊接密封而成，两侧浮筒间采用槽钢焊接连接形成导向架骨架，可稳定漂浮于水面并保持水平，浮筒顶部焊有吊耳供导向架吊装移位使用。定位导向架两端各安装一套固定导桩套，由钢板、钢管与浮筒焊接连接，起到定位桩的平面固定限位作用。浮筒顶部按照图纸所示管桩间距每</w:t>
      </w:r>
      <w:r>
        <w:rPr>
          <w:rFonts w:ascii="宋体" w:eastAsia="宋体" w:hAnsi="宋体" w:cs="宋体" w:hint="eastAsia"/>
          <w:sz w:val="22"/>
          <w:szCs w:val="22"/>
        </w:rPr>
        <w:t>80cm</w:t>
      </w:r>
      <w:r>
        <w:rPr>
          <w:rFonts w:ascii="宋体" w:eastAsia="宋体" w:hAnsi="宋体" w:cs="宋体" w:hint="eastAsia"/>
          <w:sz w:val="22"/>
          <w:szCs w:val="22"/>
        </w:rPr>
        <w:t>对称焊接一组双拼定位槽钢，卡入由钢管、型钢、吊耳焊接组成的移动导桩套逐根对待施打管桩进行精确定位。</w:t>
      </w:r>
    </w:p>
    <w:p w:rsidR="00CD3991" w:rsidRDefault="00D308C6">
      <w:pPr>
        <w:spacing w:line="312" w:lineRule="auto"/>
        <w:ind w:firstLineChars="200" w:firstLine="440"/>
        <w:jc w:val="left"/>
        <w:rPr>
          <w:highlight w:val="yellow"/>
        </w:rPr>
      </w:pPr>
      <w:r>
        <w:rPr>
          <w:rFonts w:ascii="宋体" w:eastAsia="宋体" w:hAnsi="宋体" w:cs="宋体" w:hint="eastAsia"/>
          <w:sz w:val="22"/>
          <w:szCs w:val="22"/>
        </w:rPr>
        <w:t>平面偏位可通过焊接固定间距限位槽钢及钢套筒实现，其中钢套筒计划选择φ</w:t>
      </w:r>
      <w:r>
        <w:rPr>
          <w:rFonts w:ascii="宋体" w:eastAsia="宋体" w:hAnsi="宋体" w:cs="宋体" w:hint="eastAsia"/>
          <w:sz w:val="22"/>
          <w:szCs w:val="22"/>
        </w:rPr>
        <w:t>377*6mm</w:t>
      </w:r>
      <w:r>
        <w:rPr>
          <w:rFonts w:ascii="宋体" w:eastAsia="宋体" w:hAnsi="宋体" w:cs="宋体" w:hint="eastAsia"/>
          <w:sz w:val="22"/>
          <w:szCs w:val="22"/>
        </w:rPr>
        <w:t>钢管仅略大于管桩直径</w:t>
      </w:r>
      <w:r>
        <w:rPr>
          <w:rFonts w:ascii="宋体" w:eastAsia="宋体" w:hAnsi="宋体" w:cs="宋体" w:hint="eastAsia"/>
          <w:sz w:val="22"/>
          <w:szCs w:val="22"/>
        </w:rPr>
        <w:t>300mm</w:t>
      </w:r>
      <w:r>
        <w:rPr>
          <w:rFonts w:ascii="宋体" w:eastAsia="宋体" w:hAnsi="宋体" w:cs="宋体" w:hint="eastAsia"/>
          <w:sz w:val="22"/>
          <w:szCs w:val="22"/>
        </w:rPr>
        <w:t>，系统偏差约</w:t>
      </w:r>
      <w:r>
        <w:rPr>
          <w:rFonts w:ascii="宋体" w:eastAsia="宋体" w:hAnsi="宋体" w:cs="宋体" w:hint="eastAsia"/>
          <w:sz w:val="22"/>
          <w:szCs w:val="22"/>
        </w:rPr>
        <w:t>30mm</w:t>
      </w:r>
      <w:r>
        <w:rPr>
          <w:rFonts w:ascii="宋体" w:eastAsia="宋体" w:hAnsi="宋体" w:cs="宋体" w:hint="eastAsia"/>
          <w:sz w:val="22"/>
          <w:szCs w:val="22"/>
        </w:rPr>
        <w:t>易实现平面偏位控制。垂直度若采用人工逐根测量的方式在施工过程中易导致偏斜，可利用水平原理制作长度</w:t>
      </w:r>
      <w:r>
        <w:rPr>
          <w:rFonts w:ascii="宋体" w:eastAsia="宋体" w:hAnsi="宋体" w:cs="宋体" w:hint="eastAsia"/>
          <w:sz w:val="22"/>
          <w:szCs w:val="22"/>
        </w:rPr>
        <w:t>1m</w:t>
      </w:r>
      <w:r>
        <w:rPr>
          <w:rFonts w:ascii="宋体" w:eastAsia="宋体" w:hAnsi="宋体" w:cs="宋体" w:hint="eastAsia"/>
          <w:sz w:val="22"/>
          <w:szCs w:val="22"/>
        </w:rPr>
        <w:t>的钢套筒进行垂直限位，内河施工风浪极小，浮式导梁漂浮于水面几乎水平，与其垂直的钢套筒则保持垂直，以此实现垂直度控制。</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2.2</w:t>
      </w:r>
      <w:r>
        <w:rPr>
          <w:rFonts w:ascii="宋体" w:eastAsia="宋体" w:hAnsi="宋体" w:cs="宋体" w:hint="eastAsia"/>
          <w:b/>
          <w:bCs/>
          <w:sz w:val="22"/>
          <w:szCs w:val="22"/>
        </w:rPr>
        <w:t>结构特点</w:t>
      </w:r>
    </w:p>
    <w:p w:rsidR="00CD3991" w:rsidRDefault="00D308C6">
      <w:pPr>
        <w:spacing w:line="360" w:lineRule="auto"/>
        <w:ind w:firstLineChars="200" w:firstLine="440"/>
        <w:jc w:val="left"/>
        <w:rPr>
          <w:rFonts w:ascii="宋体" w:eastAsia="宋体" w:hAnsi="宋体" w:cs="宋体"/>
          <w:sz w:val="22"/>
          <w:szCs w:val="22"/>
        </w:rPr>
      </w:pPr>
      <w:r>
        <w:rPr>
          <w:rFonts w:ascii="宋体" w:eastAsia="宋体" w:hAnsi="宋体" w:cs="宋体" w:hint="eastAsia"/>
          <w:sz w:val="22"/>
          <w:szCs w:val="22"/>
        </w:rPr>
        <w:t>本装置长</w:t>
      </w:r>
      <w:r>
        <w:rPr>
          <w:rFonts w:ascii="宋体" w:eastAsia="宋体" w:hAnsi="宋体" w:cs="宋体" w:hint="eastAsia"/>
          <w:sz w:val="22"/>
          <w:szCs w:val="22"/>
        </w:rPr>
        <w:t>1</w:t>
      </w:r>
      <w:r>
        <w:rPr>
          <w:rFonts w:ascii="宋体" w:eastAsia="宋体" w:hAnsi="宋体" w:cs="宋体"/>
          <w:sz w:val="22"/>
          <w:szCs w:val="22"/>
        </w:rPr>
        <w:t>2m</w:t>
      </w:r>
      <w:r>
        <w:rPr>
          <w:rFonts w:ascii="宋体" w:eastAsia="宋体" w:hAnsi="宋体" w:cs="宋体" w:hint="eastAsia"/>
          <w:sz w:val="22"/>
          <w:szCs w:val="22"/>
        </w:rPr>
        <w:t>，由浮式导向架及移动导桩套组成，结构示意图如下：</w:t>
      </w:r>
    </w:p>
    <w:p w:rsidR="00CD3991" w:rsidRDefault="00D308C6">
      <w:pPr>
        <w:jc w:val="center"/>
        <w:rPr>
          <w:rFonts w:ascii="宋体" w:hAnsi="宋体"/>
          <w:sz w:val="30"/>
          <w:szCs w:val="30"/>
        </w:rPr>
      </w:pPr>
      <w:r>
        <w:rPr>
          <w:rFonts w:hint="eastAsia"/>
          <w:noProof/>
        </w:rPr>
        <w:drawing>
          <wp:inline distT="0" distB="0" distL="0" distR="0">
            <wp:extent cx="5053330" cy="2531110"/>
            <wp:effectExtent l="0" t="0" r="0" b="2540"/>
            <wp:docPr id="37" name="图片 37" descr="标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标注"/>
                    <pic:cNvPicPr>
                      <a:picLocks noChangeAspect="1" noChangeArrowheads="1"/>
                    </pic:cNvPicPr>
                  </pic:nvPicPr>
                  <pic:blipFill>
                    <a:blip r:embed="rId7">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091010" cy="2550409"/>
                    </a:xfrm>
                    <a:prstGeom prst="rect">
                      <a:avLst/>
                    </a:prstGeom>
                    <a:noFill/>
                    <a:ln>
                      <a:noFill/>
                    </a:ln>
                  </pic:spPr>
                </pic:pic>
              </a:graphicData>
            </a:graphic>
          </wp:inline>
        </w:drawing>
      </w:r>
    </w:p>
    <w:p w:rsidR="00CD3991" w:rsidRDefault="00D308C6">
      <w:pPr>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 xml:space="preserve">1 </w:t>
      </w:r>
      <w:r>
        <w:rPr>
          <w:rFonts w:ascii="宋体" w:eastAsia="宋体" w:hAnsi="宋体" w:cs="宋体" w:hint="eastAsia"/>
          <w:b/>
          <w:bCs/>
          <w:sz w:val="22"/>
          <w:szCs w:val="22"/>
        </w:rPr>
        <w:t>浮式导向架三维模型图</w:t>
      </w:r>
    </w:p>
    <w:p w:rsidR="00CD3991" w:rsidRDefault="00D308C6">
      <w:pPr>
        <w:spacing w:line="360" w:lineRule="auto"/>
        <w:ind w:firstLineChars="200" w:firstLine="440"/>
        <w:jc w:val="left"/>
        <w:rPr>
          <w:rFonts w:ascii="宋体" w:eastAsia="宋体" w:hAnsi="宋体" w:cs="宋体"/>
          <w:sz w:val="22"/>
          <w:szCs w:val="22"/>
        </w:rPr>
      </w:pPr>
      <w:r>
        <w:rPr>
          <w:rFonts w:ascii="宋体" w:eastAsia="宋体" w:hAnsi="宋体" w:cs="宋体" w:hint="eastAsia"/>
          <w:sz w:val="22"/>
          <w:szCs w:val="22"/>
        </w:rPr>
        <w:t>一对浮筒及端部连接槽钢构成浮式导向架骨架，可稳定漂</w:t>
      </w:r>
      <w:r>
        <w:rPr>
          <w:rFonts w:ascii="宋体" w:eastAsia="宋体" w:hAnsi="宋体" w:cs="宋体" w:hint="eastAsia"/>
          <w:sz w:val="22"/>
          <w:szCs w:val="22"/>
        </w:rPr>
        <w:t>浮于水面并保持水平。浮式导向架两端</w:t>
      </w:r>
      <w:r>
        <w:rPr>
          <w:rFonts w:ascii="宋体" w:eastAsia="宋体" w:hAnsi="宋体" w:cs="宋体" w:hint="eastAsia"/>
          <w:sz w:val="22"/>
          <w:szCs w:val="22"/>
        </w:rPr>
        <w:lastRenderedPageBreak/>
        <w:t>设有一对固定导桩套，通过定位桩可实现导向架的水上定位。浮筒顶部间隔</w:t>
      </w:r>
      <w:r>
        <w:rPr>
          <w:rFonts w:ascii="宋体" w:eastAsia="宋体" w:hAnsi="宋体" w:cs="宋体" w:hint="eastAsia"/>
          <w:sz w:val="22"/>
          <w:szCs w:val="22"/>
        </w:rPr>
        <w:t>800mm</w:t>
      </w:r>
      <w:r>
        <w:rPr>
          <w:rFonts w:ascii="宋体" w:eastAsia="宋体" w:hAnsi="宋体" w:cs="宋体" w:hint="eastAsia"/>
          <w:sz w:val="22"/>
          <w:szCs w:val="22"/>
        </w:rPr>
        <w:t>设置一对双拼槽钢，槽钢间有竖直插槽为移动导桩套提供平面限位。浮筒顶部焊有吊耳供导向架吊装移位使用</w:t>
      </w:r>
    </w:p>
    <w:p w:rsidR="00CD3991" w:rsidRDefault="00D308C6">
      <w:pPr>
        <w:spacing w:line="360" w:lineRule="auto"/>
        <w:ind w:firstLineChars="200" w:firstLine="440"/>
        <w:jc w:val="left"/>
        <w:rPr>
          <w:rFonts w:ascii="宋体" w:eastAsia="宋体" w:hAnsi="宋体" w:cs="宋体"/>
          <w:sz w:val="22"/>
          <w:szCs w:val="22"/>
        </w:rPr>
      </w:pPr>
      <w:r>
        <w:rPr>
          <w:rFonts w:ascii="宋体" w:eastAsia="宋体" w:hAnsi="宋体" w:cs="宋体" w:hint="eastAsia"/>
          <w:sz w:val="22"/>
          <w:szCs w:val="22"/>
        </w:rPr>
        <w:t>移动导桩套由钢管、钢板（制作导向板、限位板用）、吊耳焊接组成，可插入浮式导向架定位槽钢插槽中对待施打管桩进行精确定位。</w:t>
      </w:r>
    </w:p>
    <w:p w:rsidR="00CD3991" w:rsidRDefault="00D308C6">
      <w:pPr>
        <w:spacing w:line="312" w:lineRule="auto"/>
        <w:ind w:firstLineChars="200" w:firstLine="440"/>
        <w:jc w:val="left"/>
        <w:rPr>
          <w:rFonts w:ascii="宋体" w:eastAsia="宋体" w:hAnsi="宋体" w:cs="宋体"/>
          <w:sz w:val="22"/>
          <w:szCs w:val="22"/>
        </w:rPr>
      </w:pPr>
      <w:r>
        <w:rPr>
          <w:rFonts w:ascii="宋体" w:eastAsia="宋体" w:hAnsi="宋体" w:cs="宋体" w:hint="eastAsia"/>
          <w:sz w:val="22"/>
          <w:szCs w:val="22"/>
        </w:rPr>
        <w:t>导向架尺寸详见下图：</w:t>
      </w:r>
    </w:p>
    <w:p w:rsidR="00CD3991" w:rsidRDefault="00D308C6">
      <w:pPr>
        <w:jc w:val="center"/>
        <w:rPr>
          <w:rFonts w:ascii="宋体" w:eastAsia="宋体" w:hAnsi="宋体"/>
          <w:sz w:val="30"/>
          <w:szCs w:val="30"/>
        </w:rPr>
      </w:pPr>
      <w:r>
        <w:rPr>
          <w:rFonts w:ascii="宋体" w:eastAsia="宋体" w:hAnsi="宋体" w:hint="eastAsia"/>
          <w:noProof/>
          <w:sz w:val="30"/>
          <w:szCs w:val="30"/>
        </w:rPr>
        <w:drawing>
          <wp:inline distT="0" distB="0" distL="0" distR="0">
            <wp:extent cx="5272405" cy="3039110"/>
            <wp:effectExtent l="0" t="0" r="4445" b="889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8">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314548" cy="3063828"/>
                    </a:xfrm>
                    <a:prstGeom prst="rect">
                      <a:avLst/>
                    </a:prstGeom>
                  </pic:spPr>
                </pic:pic>
              </a:graphicData>
            </a:graphic>
          </wp:inline>
        </w:drawing>
      </w:r>
    </w:p>
    <w:p w:rsidR="00CD3991" w:rsidRDefault="00D308C6">
      <w:pPr>
        <w:jc w:val="center"/>
        <w:rPr>
          <w:rFonts w:ascii="宋体" w:eastAsia="宋体" w:hAnsi="宋体"/>
          <w:b/>
          <w:bCs/>
          <w:sz w:val="28"/>
          <w:szCs w:val="28"/>
        </w:rPr>
      </w:pPr>
      <w:r>
        <w:rPr>
          <w:rFonts w:ascii="宋体" w:eastAsia="宋体" w:hAnsi="宋体"/>
          <w:b/>
          <w:bCs/>
          <w:noProof/>
          <w:sz w:val="28"/>
          <w:szCs w:val="28"/>
        </w:rPr>
        <w:drawing>
          <wp:inline distT="0" distB="0" distL="0" distR="0">
            <wp:extent cx="4821555" cy="316611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9">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847607" cy="3183643"/>
                    </a:xfrm>
                    <a:prstGeom prst="rect">
                      <a:avLst/>
                    </a:prstGeom>
                  </pic:spPr>
                </pic:pic>
              </a:graphicData>
            </a:graphic>
          </wp:inline>
        </w:drawing>
      </w:r>
    </w:p>
    <w:p w:rsidR="00CD3991" w:rsidRDefault="00D308C6">
      <w:pPr>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 xml:space="preserve">2 </w:t>
      </w:r>
      <w:r>
        <w:rPr>
          <w:rFonts w:ascii="宋体" w:eastAsia="宋体" w:hAnsi="宋体" w:cs="宋体" w:hint="eastAsia"/>
          <w:b/>
          <w:bCs/>
          <w:sz w:val="22"/>
          <w:szCs w:val="22"/>
        </w:rPr>
        <w:t>导向架设计图</w:t>
      </w:r>
    </w:p>
    <w:p w:rsidR="00CD3991" w:rsidRDefault="00D308C6">
      <w:pPr>
        <w:spacing w:line="312" w:lineRule="auto"/>
        <w:ind w:firstLineChars="200" w:firstLine="442"/>
        <w:outlineLvl w:val="1"/>
        <w:rPr>
          <w:rFonts w:ascii="宋体" w:eastAsia="宋体" w:hAnsi="宋体" w:cs="宋体"/>
          <w:b/>
          <w:bCs/>
          <w:sz w:val="22"/>
          <w:szCs w:val="22"/>
        </w:rPr>
      </w:pPr>
      <w:r>
        <w:rPr>
          <w:rFonts w:ascii="宋体" w:eastAsia="宋体" w:hAnsi="宋体" w:cs="宋体" w:hint="eastAsia"/>
          <w:b/>
          <w:bCs/>
          <w:sz w:val="22"/>
          <w:szCs w:val="22"/>
        </w:rPr>
        <w:t>2.3</w:t>
      </w:r>
      <w:r>
        <w:rPr>
          <w:rFonts w:ascii="宋体" w:eastAsia="宋体" w:hAnsi="宋体" w:cs="宋体" w:hint="eastAsia"/>
          <w:b/>
          <w:bCs/>
          <w:sz w:val="22"/>
          <w:szCs w:val="22"/>
        </w:rPr>
        <w:t>工艺流程</w:t>
      </w:r>
    </w:p>
    <w:p w:rsidR="00CD3991" w:rsidRDefault="00D308C6" w:rsidP="00851BFF">
      <w:pPr>
        <w:spacing w:beforeLines="100" w:line="500" w:lineRule="exact"/>
        <w:ind w:firstLineChars="200" w:firstLine="440"/>
        <w:jc w:val="left"/>
        <w:rPr>
          <w:rFonts w:ascii="宋体" w:eastAsia="宋体" w:hAnsi="宋体" w:cs="宋体"/>
          <w:sz w:val="22"/>
          <w:szCs w:val="22"/>
        </w:rPr>
      </w:pPr>
      <w:r>
        <w:rPr>
          <w:rFonts w:ascii="宋体" w:eastAsia="宋体" w:hAnsi="宋体" w:cs="宋体" w:hint="eastAsia"/>
          <w:sz w:val="22"/>
          <w:szCs w:val="22"/>
        </w:rPr>
        <w:t>定位导向架加工完成后立即投入芜申线溧阳城区段航道整治工程</w:t>
      </w:r>
      <w:r>
        <w:rPr>
          <w:rFonts w:ascii="宋体" w:eastAsia="宋体" w:hAnsi="宋体" w:cs="宋体" w:hint="eastAsia"/>
          <w:sz w:val="22"/>
          <w:szCs w:val="22"/>
        </w:rPr>
        <w:t>H</w:t>
      </w:r>
      <w:r>
        <w:rPr>
          <w:rFonts w:ascii="宋体" w:eastAsia="宋体" w:hAnsi="宋体" w:cs="宋体"/>
          <w:sz w:val="22"/>
          <w:szCs w:val="22"/>
        </w:rPr>
        <w:t>D1</w:t>
      </w:r>
      <w:r>
        <w:rPr>
          <w:rFonts w:ascii="宋体" w:eastAsia="宋体" w:hAnsi="宋体" w:cs="宋体" w:hint="eastAsia"/>
          <w:sz w:val="22"/>
          <w:szCs w:val="22"/>
        </w:rPr>
        <w:t>标水上管桩施工中进行生产</w:t>
      </w:r>
      <w:r>
        <w:rPr>
          <w:rFonts w:ascii="宋体" w:eastAsia="宋体" w:hAnsi="宋体" w:cs="宋体" w:hint="eastAsia"/>
          <w:sz w:val="22"/>
          <w:szCs w:val="22"/>
        </w:rPr>
        <w:lastRenderedPageBreak/>
        <w:t>测试，本装置用于水上管桩沉桩时施工流程图如下所示：</w:t>
      </w:r>
    </w:p>
    <w:p w:rsidR="00CD3991" w:rsidRDefault="00D308C6">
      <w:pPr>
        <w:snapToGrid w:val="0"/>
        <w:spacing w:line="360" w:lineRule="auto"/>
        <w:jc w:val="center"/>
      </w:pPr>
      <w:r>
        <w:rPr>
          <w:rFonts w:hint="eastAsia"/>
          <w:noProof/>
        </w:rPr>
        <w:drawing>
          <wp:inline distT="0" distB="0" distL="0" distR="0">
            <wp:extent cx="5170805" cy="967740"/>
            <wp:effectExtent l="0" t="0" r="0" b="0"/>
            <wp:docPr id="42" name="图片 42" descr="C:\Users\15280\Desktop\浮式导向架.png浮式导向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C:\Users\15280\Desktop\浮式导向架.png浮式导向架"/>
                    <pic:cNvPicPr>
                      <a:picLocks noChangeAspect="1" noChangeArrowheads="1"/>
                    </pic:cNvPicPr>
                  </pic:nvPicPr>
                  <pic:blipFill>
                    <a:blip r:embed="rId10">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18333" cy="976635"/>
                    </a:xfrm>
                    <a:prstGeom prst="rect">
                      <a:avLst/>
                    </a:prstGeom>
                    <a:noFill/>
                    <a:ln>
                      <a:noFill/>
                    </a:ln>
                  </pic:spPr>
                </pic:pic>
              </a:graphicData>
            </a:graphic>
          </wp:inline>
        </w:drawing>
      </w:r>
    </w:p>
    <w:p w:rsidR="00CD3991" w:rsidRDefault="00D308C6">
      <w:pPr>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 xml:space="preserve">3 </w:t>
      </w:r>
      <w:r>
        <w:rPr>
          <w:rFonts w:ascii="宋体" w:eastAsia="宋体" w:hAnsi="宋体" w:cs="宋体" w:hint="eastAsia"/>
          <w:b/>
          <w:bCs/>
          <w:sz w:val="22"/>
          <w:szCs w:val="22"/>
        </w:rPr>
        <w:t>管桩水上沉桩定位导向架使用流程图</w:t>
      </w:r>
    </w:p>
    <w:p w:rsidR="00CD3991" w:rsidRDefault="00D308C6">
      <w:pPr>
        <w:spacing w:line="312" w:lineRule="auto"/>
        <w:ind w:firstLineChars="200" w:firstLine="440"/>
        <w:jc w:val="left"/>
        <w:rPr>
          <w:rFonts w:ascii="宋体" w:eastAsia="宋体" w:hAnsi="宋体" w:cs="宋体"/>
          <w:sz w:val="22"/>
          <w:szCs w:val="22"/>
        </w:rPr>
      </w:pPr>
      <w:r>
        <w:rPr>
          <w:rFonts w:ascii="宋体" w:eastAsia="宋体" w:hAnsi="宋体" w:cs="宋体" w:hint="eastAsia"/>
          <w:sz w:val="22"/>
          <w:szCs w:val="22"/>
        </w:rPr>
        <w:t>首先吊入浮式定位导向架至大致沉桩位置，使用</w:t>
      </w:r>
      <w:r>
        <w:rPr>
          <w:rFonts w:ascii="宋体" w:eastAsia="宋体" w:hAnsi="宋体" w:cs="宋体" w:hint="eastAsia"/>
          <w:sz w:val="22"/>
          <w:szCs w:val="22"/>
        </w:rPr>
        <w:t>GPS</w:t>
      </w:r>
      <w:r>
        <w:rPr>
          <w:rFonts w:ascii="宋体" w:eastAsia="宋体" w:hAnsi="宋体" w:cs="宋体" w:hint="eastAsia"/>
          <w:sz w:val="22"/>
          <w:szCs w:val="22"/>
        </w:rPr>
        <w:t>进行测量定位后将定位桩插入端部固定导桩套并完成首尾两根桩施打形成稳定的平面限位。待导向架稳定漂浮于水面后从头至尾依次将移动导桩套依次卡入浮动顶部的定位槽钢，并逐根施打中间部分的管桩，待本桩段内全部管桩沉桩完毕垂直吊出导向架移入下一桩段进行循环施工。现场安装使用照片如下：</w:t>
      </w:r>
    </w:p>
    <w:tbl>
      <w:tblPr>
        <w:tblStyle w:val="a7"/>
        <w:tblW w:w="0" w:type="auto"/>
        <w:tblLook w:val="04A0"/>
      </w:tblPr>
      <w:tblGrid>
        <w:gridCol w:w="4815"/>
        <w:gridCol w:w="4816"/>
      </w:tblGrid>
      <w:tr w:rsidR="00CD3991">
        <w:tc>
          <w:tcPr>
            <w:tcW w:w="4815" w:type="dxa"/>
          </w:tcPr>
          <w:p w:rsidR="00CD3991" w:rsidRDefault="00D308C6">
            <w:pPr>
              <w:snapToGrid w:val="0"/>
              <w:spacing w:line="360" w:lineRule="auto"/>
              <w:jc w:val="center"/>
              <w:rPr>
                <w:rFonts w:ascii="宋体" w:eastAsia="宋体" w:hAnsi="宋体" w:cs="宋体"/>
                <w:b/>
                <w:bCs/>
                <w:sz w:val="22"/>
                <w:szCs w:val="22"/>
              </w:rPr>
            </w:pPr>
            <w:r>
              <w:rPr>
                <w:rFonts w:ascii="宋体" w:eastAsia="宋体" w:hAnsi="宋体" w:cs="宋体"/>
                <w:b/>
                <w:bCs/>
                <w:noProof/>
                <w:sz w:val="22"/>
                <w:szCs w:val="22"/>
              </w:rPr>
              <w:drawing>
                <wp:inline distT="0" distB="0" distL="0" distR="0">
                  <wp:extent cx="2529840" cy="2346960"/>
                  <wp:effectExtent l="0" t="0" r="3810" b="0"/>
                  <wp:docPr id="43" name="图片 43" descr="图片1"/>
                  <wp:cNvGraphicFramePr/>
                  <a:graphic xmlns:a="http://schemas.openxmlformats.org/drawingml/2006/main">
                    <a:graphicData uri="http://schemas.openxmlformats.org/drawingml/2006/picture">
                      <pic:pic xmlns:pic="http://schemas.openxmlformats.org/drawingml/2006/picture">
                        <pic:nvPicPr>
                          <pic:cNvPr id="43" name="图片 43" descr="图片1"/>
                          <pic:cNvPicPr>
                            <a:picLocks noChangeArrowheads="1"/>
                          </pic:cNvPicPr>
                        </pic:nvPicPr>
                        <pic:blipFill>
                          <a:blip r:embed="rId11">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529840" cy="2346960"/>
                          </a:xfrm>
                          <a:prstGeom prst="rect">
                            <a:avLst/>
                          </a:prstGeom>
                          <a:noFill/>
                          <a:ln>
                            <a:noFill/>
                          </a:ln>
                        </pic:spPr>
                      </pic:pic>
                    </a:graphicData>
                  </a:graphic>
                </wp:inline>
              </w:drawing>
            </w:r>
          </w:p>
          <w:p w:rsidR="00CD3991" w:rsidRDefault="00D308C6">
            <w:pPr>
              <w:snapToGrid w:val="0"/>
              <w:spacing w:line="360" w:lineRule="auto"/>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 xml:space="preserve">4 </w:t>
            </w:r>
            <w:r>
              <w:rPr>
                <w:rFonts w:ascii="宋体" w:eastAsia="宋体" w:hAnsi="宋体" w:cs="宋体" w:hint="eastAsia"/>
                <w:b/>
                <w:bCs/>
                <w:sz w:val="22"/>
                <w:szCs w:val="22"/>
              </w:rPr>
              <w:t>导向架安装</w:t>
            </w:r>
          </w:p>
        </w:tc>
        <w:tc>
          <w:tcPr>
            <w:tcW w:w="4816" w:type="dxa"/>
          </w:tcPr>
          <w:p w:rsidR="00CD3991" w:rsidRDefault="00D308C6">
            <w:pPr>
              <w:snapToGrid w:val="0"/>
              <w:spacing w:line="360" w:lineRule="auto"/>
              <w:jc w:val="center"/>
              <w:rPr>
                <w:rFonts w:ascii="宋体" w:eastAsia="宋体" w:hAnsi="宋体" w:cs="宋体"/>
                <w:b/>
                <w:bCs/>
                <w:sz w:val="22"/>
                <w:szCs w:val="22"/>
              </w:rPr>
            </w:pPr>
            <w:r>
              <w:rPr>
                <w:rFonts w:ascii="宋体" w:eastAsia="宋体" w:hAnsi="宋体" w:cs="宋体"/>
                <w:b/>
                <w:bCs/>
                <w:noProof/>
                <w:sz w:val="22"/>
                <w:szCs w:val="22"/>
              </w:rPr>
              <w:drawing>
                <wp:inline distT="0" distB="0" distL="0" distR="0">
                  <wp:extent cx="2461260" cy="2339340"/>
                  <wp:effectExtent l="19050" t="19050" r="15240" b="22860"/>
                  <wp:docPr id="45" name="图片 45" descr="图片3"/>
                  <wp:cNvGraphicFramePr/>
                  <a:graphic xmlns:a="http://schemas.openxmlformats.org/drawingml/2006/main">
                    <a:graphicData uri="http://schemas.openxmlformats.org/drawingml/2006/picture">
                      <pic:pic xmlns:pic="http://schemas.openxmlformats.org/drawingml/2006/picture">
                        <pic:nvPicPr>
                          <pic:cNvPr id="45" name="图片 45" descr="图片3"/>
                          <pic:cNvPicPr>
                            <a:picLocks noChangeArrowheads="1"/>
                          </pic:cNvPicPr>
                        </pic:nvPicPr>
                        <pic:blipFill>
                          <a:blip r:embed="rId12">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461260" cy="2339340"/>
                          </a:xfrm>
                          <a:prstGeom prst="rect">
                            <a:avLst/>
                          </a:prstGeom>
                          <a:noFill/>
                          <a:ln w="0">
                            <a:solidFill>
                              <a:schemeClr val="accent4"/>
                            </a:solidFill>
                          </a:ln>
                          <a:effectLst/>
                        </pic:spPr>
                      </pic:pic>
                    </a:graphicData>
                  </a:graphic>
                </wp:inline>
              </w:drawing>
            </w:r>
          </w:p>
          <w:p w:rsidR="00CD3991" w:rsidRDefault="00D308C6">
            <w:pPr>
              <w:snapToGrid w:val="0"/>
              <w:spacing w:line="360" w:lineRule="auto"/>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hint="eastAsia"/>
                <w:b/>
                <w:bCs/>
                <w:sz w:val="22"/>
                <w:szCs w:val="22"/>
              </w:rPr>
              <w:t>5</w:t>
            </w:r>
            <w:r>
              <w:rPr>
                <w:rFonts w:ascii="宋体" w:eastAsia="宋体" w:hAnsi="宋体" w:cs="宋体" w:hint="eastAsia"/>
                <w:b/>
                <w:bCs/>
                <w:sz w:val="22"/>
                <w:szCs w:val="22"/>
              </w:rPr>
              <w:t>移动导桩套安装</w:t>
            </w:r>
          </w:p>
        </w:tc>
      </w:tr>
      <w:tr w:rsidR="00CD3991">
        <w:tc>
          <w:tcPr>
            <w:tcW w:w="4815" w:type="dxa"/>
          </w:tcPr>
          <w:p w:rsidR="00CD3991" w:rsidRDefault="00D308C6">
            <w:pPr>
              <w:snapToGrid w:val="0"/>
              <w:spacing w:line="360" w:lineRule="auto"/>
              <w:jc w:val="center"/>
              <w:rPr>
                <w:rFonts w:asciiTheme="minorHAnsi" w:hAnsiTheme="minorHAnsi" w:cstheme="minorBidi"/>
              </w:rPr>
            </w:pPr>
            <w:r>
              <w:rPr>
                <w:rFonts w:asciiTheme="minorHAnsi" w:hAnsiTheme="minorHAnsi" w:cstheme="minorBidi"/>
                <w:noProof/>
              </w:rPr>
              <w:drawing>
                <wp:inline distT="0" distB="0" distL="0" distR="0">
                  <wp:extent cx="2369820" cy="2407920"/>
                  <wp:effectExtent l="19050" t="19050" r="11430" b="11430"/>
                  <wp:docPr id="46" name="图片 46" descr="C:\Users\15280\Desktop\1.jpg1"/>
                  <wp:cNvGraphicFramePr/>
                  <a:graphic xmlns:a="http://schemas.openxmlformats.org/drawingml/2006/main">
                    <a:graphicData uri="http://schemas.openxmlformats.org/drawingml/2006/picture">
                      <pic:pic xmlns:pic="http://schemas.openxmlformats.org/drawingml/2006/picture">
                        <pic:nvPicPr>
                          <pic:cNvPr id="46" name="图片 46" descr="C:\Users\15280\Desktop\1.jpg1"/>
                          <pic:cNvPicPr>
                            <a:picLocks noChangeArrowheads="1"/>
                          </pic:cNvPicPr>
                        </pic:nvPicPr>
                        <pic:blipFill>
                          <a:blip r:embed="rId13"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369820" cy="2407920"/>
                          </a:xfrm>
                          <a:prstGeom prst="rect">
                            <a:avLst/>
                          </a:prstGeom>
                          <a:noFill/>
                          <a:ln w="19050">
                            <a:solidFill>
                              <a:schemeClr val="accent4"/>
                            </a:solidFill>
                          </a:ln>
                          <a:effectLst/>
                        </pic:spPr>
                      </pic:pic>
                    </a:graphicData>
                  </a:graphic>
                </wp:inline>
              </w:drawing>
            </w:r>
          </w:p>
          <w:p w:rsidR="00CD3991" w:rsidRDefault="00D308C6">
            <w:pPr>
              <w:snapToGrid w:val="0"/>
              <w:spacing w:line="360" w:lineRule="auto"/>
              <w:jc w:val="center"/>
              <w:rPr>
                <w:rFonts w:asciiTheme="minorHAnsi" w:hAnsiTheme="minorHAnsi" w:cstheme="minorBidi"/>
              </w:rPr>
            </w:pPr>
            <w:r>
              <w:rPr>
                <w:rFonts w:ascii="宋体" w:eastAsia="宋体" w:hAnsi="宋体" w:cs="宋体" w:hint="eastAsia"/>
                <w:b/>
                <w:bCs/>
                <w:sz w:val="22"/>
                <w:szCs w:val="22"/>
              </w:rPr>
              <w:t>图</w:t>
            </w:r>
            <w:r>
              <w:rPr>
                <w:rFonts w:ascii="宋体" w:eastAsia="宋体" w:hAnsi="宋体" w:cs="宋体"/>
                <w:b/>
                <w:bCs/>
                <w:sz w:val="22"/>
                <w:szCs w:val="22"/>
              </w:rPr>
              <w:t xml:space="preserve">6 </w:t>
            </w:r>
            <w:r>
              <w:rPr>
                <w:rFonts w:ascii="宋体" w:eastAsia="宋体" w:hAnsi="宋体" w:cs="宋体" w:hint="eastAsia"/>
                <w:b/>
                <w:bCs/>
                <w:sz w:val="22"/>
                <w:szCs w:val="22"/>
              </w:rPr>
              <w:t>固定及活动导桩套</w:t>
            </w:r>
          </w:p>
        </w:tc>
        <w:tc>
          <w:tcPr>
            <w:tcW w:w="4816" w:type="dxa"/>
          </w:tcPr>
          <w:p w:rsidR="00CD3991" w:rsidRDefault="00D308C6">
            <w:pPr>
              <w:snapToGrid w:val="0"/>
              <w:spacing w:line="360" w:lineRule="auto"/>
              <w:jc w:val="center"/>
              <w:rPr>
                <w:rFonts w:ascii="仿宋" w:eastAsia="仿宋" w:hAnsi="仿宋" w:cstheme="minorBidi"/>
                <w:bCs/>
                <w:szCs w:val="32"/>
              </w:rPr>
            </w:pPr>
            <w:r>
              <w:rPr>
                <w:rFonts w:ascii="仿宋" w:eastAsia="仿宋" w:hAnsi="仿宋" w:cstheme="minorBidi"/>
                <w:bCs/>
                <w:noProof/>
                <w:szCs w:val="32"/>
              </w:rPr>
              <w:drawing>
                <wp:inline distT="0" distB="0" distL="0" distR="0">
                  <wp:extent cx="2552700" cy="2400300"/>
                  <wp:effectExtent l="0" t="0" r="0" b="0"/>
                  <wp:docPr id="47" name="图片 47" descr="图片2"/>
                  <wp:cNvGraphicFramePr/>
                  <a:graphic xmlns:a="http://schemas.openxmlformats.org/drawingml/2006/main">
                    <a:graphicData uri="http://schemas.openxmlformats.org/drawingml/2006/picture">
                      <pic:pic xmlns:pic="http://schemas.openxmlformats.org/drawingml/2006/picture">
                        <pic:nvPicPr>
                          <pic:cNvPr id="47" name="图片 47" descr="图片2"/>
                          <pic:cNvPicPr>
                            <a:picLocks noChangeArrowheads="1"/>
                          </pic:cNvPicPr>
                        </pic:nvPicPr>
                        <pic:blipFill>
                          <a:blip r:embed="rId14">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2552700" cy="2400300"/>
                          </a:xfrm>
                          <a:prstGeom prst="rect">
                            <a:avLst/>
                          </a:prstGeom>
                          <a:noFill/>
                          <a:ln>
                            <a:noFill/>
                          </a:ln>
                          <a:effectLst/>
                        </pic:spPr>
                      </pic:pic>
                    </a:graphicData>
                  </a:graphic>
                </wp:inline>
              </w:drawing>
            </w:r>
          </w:p>
          <w:p w:rsidR="00CD3991" w:rsidRDefault="00D308C6">
            <w:pPr>
              <w:snapToGrid w:val="0"/>
              <w:spacing w:line="360" w:lineRule="auto"/>
              <w:jc w:val="center"/>
              <w:rPr>
                <w:rFonts w:ascii="仿宋" w:eastAsia="仿宋" w:hAnsi="仿宋" w:cstheme="minorBidi"/>
                <w:bCs/>
                <w:szCs w:val="32"/>
              </w:rPr>
            </w:pPr>
            <w:r>
              <w:rPr>
                <w:rFonts w:ascii="宋体" w:eastAsia="宋体" w:hAnsi="宋体" w:cs="宋体" w:hint="eastAsia"/>
                <w:b/>
                <w:bCs/>
                <w:sz w:val="22"/>
                <w:szCs w:val="22"/>
              </w:rPr>
              <w:t>图</w:t>
            </w:r>
            <w:r>
              <w:rPr>
                <w:rFonts w:ascii="宋体" w:eastAsia="宋体" w:hAnsi="宋体" w:cs="宋体"/>
                <w:b/>
                <w:bCs/>
                <w:sz w:val="22"/>
                <w:szCs w:val="22"/>
              </w:rPr>
              <w:t xml:space="preserve">7 </w:t>
            </w:r>
            <w:r>
              <w:rPr>
                <w:rFonts w:ascii="宋体" w:eastAsia="宋体" w:hAnsi="宋体" w:cs="宋体" w:hint="eastAsia"/>
                <w:b/>
                <w:bCs/>
                <w:sz w:val="22"/>
                <w:szCs w:val="22"/>
              </w:rPr>
              <w:t>沉桩完成</w:t>
            </w:r>
          </w:p>
        </w:tc>
      </w:tr>
    </w:tbl>
    <w:p w:rsidR="00CD3991" w:rsidRDefault="00CD3991">
      <w:pPr>
        <w:spacing w:line="312" w:lineRule="auto"/>
        <w:ind w:firstLineChars="200" w:firstLine="442"/>
        <w:outlineLvl w:val="1"/>
        <w:rPr>
          <w:rFonts w:ascii="宋体" w:eastAsia="宋体" w:hAnsi="宋体" w:cs="宋体"/>
          <w:b/>
          <w:bCs/>
          <w:sz w:val="22"/>
          <w:szCs w:val="22"/>
        </w:rPr>
      </w:pPr>
    </w:p>
    <w:p w:rsidR="00CD3991" w:rsidRDefault="00D308C6" w:rsidP="00851BFF">
      <w:pPr>
        <w:spacing w:beforeLines="50" w:afterLines="50" w:line="360" w:lineRule="auto"/>
        <w:jc w:val="center"/>
        <w:rPr>
          <w:rFonts w:ascii="黑体" w:eastAsia="黑体" w:hAnsi="黑体" w:cs="黑体"/>
          <w:b/>
          <w:bCs/>
          <w:color w:val="002060"/>
          <w:sz w:val="24"/>
        </w:rPr>
      </w:pPr>
      <w:r>
        <w:rPr>
          <w:rFonts w:ascii="黑体" w:eastAsia="黑体" w:hAnsi="黑体" w:cs="黑体" w:hint="eastAsia"/>
          <w:b/>
          <w:bCs/>
          <w:color w:val="002060"/>
          <w:sz w:val="24"/>
        </w:rPr>
        <w:t>3.</w:t>
      </w:r>
      <w:r>
        <w:rPr>
          <w:rFonts w:ascii="黑体" w:eastAsia="黑体" w:hAnsi="黑体" w:cs="黑体" w:hint="eastAsia"/>
          <w:b/>
          <w:bCs/>
          <w:color w:val="002060"/>
          <w:sz w:val="24"/>
        </w:rPr>
        <w:t>应用效果</w:t>
      </w:r>
    </w:p>
    <w:p w:rsidR="00CD3991" w:rsidRDefault="00D308C6" w:rsidP="00851BFF">
      <w:pPr>
        <w:spacing w:beforeLines="100" w:line="500" w:lineRule="exact"/>
        <w:ind w:firstLineChars="200" w:firstLine="440"/>
        <w:jc w:val="left"/>
        <w:rPr>
          <w:rFonts w:ascii="宋体" w:eastAsia="宋体" w:hAnsi="宋体" w:cs="宋体"/>
          <w:color w:val="000000"/>
          <w:sz w:val="22"/>
          <w:szCs w:val="22"/>
        </w:rPr>
      </w:pPr>
      <w:r>
        <w:rPr>
          <w:rFonts w:ascii="宋体" w:eastAsia="宋体" w:hAnsi="宋体" w:cs="宋体"/>
          <w:color w:val="000000"/>
          <w:sz w:val="22"/>
          <w:szCs w:val="22"/>
        </w:rPr>
        <w:lastRenderedPageBreak/>
        <w:t>2021</w:t>
      </w:r>
      <w:r>
        <w:rPr>
          <w:rFonts w:ascii="宋体" w:eastAsia="宋体" w:hAnsi="宋体" w:cs="宋体"/>
          <w:color w:val="000000"/>
          <w:sz w:val="22"/>
          <w:szCs w:val="22"/>
        </w:rPr>
        <w:t>年</w:t>
      </w:r>
      <w:r>
        <w:rPr>
          <w:rFonts w:ascii="宋体" w:eastAsia="宋体" w:hAnsi="宋体" w:cs="宋体"/>
          <w:color w:val="000000"/>
          <w:sz w:val="22"/>
          <w:szCs w:val="22"/>
        </w:rPr>
        <w:t>2</w:t>
      </w:r>
      <w:r>
        <w:rPr>
          <w:rFonts w:ascii="宋体" w:eastAsia="宋体" w:hAnsi="宋体" w:cs="宋体"/>
          <w:color w:val="000000"/>
          <w:sz w:val="22"/>
          <w:szCs w:val="22"/>
        </w:rPr>
        <w:t>月</w:t>
      </w:r>
      <w:r>
        <w:rPr>
          <w:rFonts w:ascii="宋体" w:eastAsia="宋体" w:hAnsi="宋体" w:cs="宋体"/>
          <w:color w:val="000000"/>
          <w:sz w:val="22"/>
          <w:szCs w:val="22"/>
        </w:rPr>
        <w:t>22</w:t>
      </w:r>
      <w:r>
        <w:rPr>
          <w:rFonts w:ascii="宋体" w:eastAsia="宋体" w:hAnsi="宋体" w:cs="宋体"/>
          <w:color w:val="000000"/>
          <w:sz w:val="22"/>
          <w:szCs w:val="22"/>
        </w:rPr>
        <w:t>日导向架开始</w:t>
      </w:r>
      <w:r>
        <w:rPr>
          <w:rFonts w:ascii="宋体" w:eastAsia="宋体" w:hAnsi="宋体" w:cs="宋体" w:hint="eastAsia"/>
          <w:color w:val="000000"/>
          <w:sz w:val="22"/>
          <w:szCs w:val="22"/>
        </w:rPr>
        <w:t>在芜申线溧阳城区段航道整治工程</w:t>
      </w:r>
      <w:r>
        <w:rPr>
          <w:rFonts w:ascii="宋体" w:eastAsia="宋体" w:hAnsi="宋体" w:cs="宋体" w:hint="eastAsia"/>
          <w:color w:val="000000"/>
          <w:sz w:val="22"/>
          <w:szCs w:val="22"/>
        </w:rPr>
        <w:t>H</w:t>
      </w:r>
      <w:r>
        <w:rPr>
          <w:rFonts w:ascii="宋体" w:eastAsia="宋体" w:hAnsi="宋体" w:cs="宋体"/>
          <w:color w:val="000000"/>
          <w:sz w:val="22"/>
          <w:szCs w:val="22"/>
        </w:rPr>
        <w:t>D1</w:t>
      </w:r>
      <w:r>
        <w:rPr>
          <w:rFonts w:ascii="宋体" w:eastAsia="宋体" w:hAnsi="宋体" w:cs="宋体" w:hint="eastAsia"/>
          <w:color w:val="000000"/>
          <w:sz w:val="22"/>
          <w:szCs w:val="22"/>
        </w:rPr>
        <w:t>标项目经理部</w:t>
      </w:r>
      <w:r>
        <w:rPr>
          <w:rFonts w:ascii="宋体" w:eastAsia="宋体" w:hAnsi="宋体" w:cs="宋体"/>
          <w:color w:val="000000"/>
          <w:sz w:val="22"/>
          <w:szCs w:val="22"/>
        </w:rPr>
        <w:t>投入现场使用，截止</w:t>
      </w:r>
      <w:r>
        <w:rPr>
          <w:rFonts w:ascii="宋体" w:eastAsia="宋体" w:hAnsi="宋体" w:cs="宋体"/>
          <w:color w:val="000000"/>
          <w:sz w:val="22"/>
          <w:szCs w:val="22"/>
        </w:rPr>
        <w:t>2021</w:t>
      </w:r>
      <w:r>
        <w:rPr>
          <w:rFonts w:ascii="宋体" w:eastAsia="宋体" w:hAnsi="宋体" w:cs="宋体"/>
          <w:color w:val="000000"/>
          <w:sz w:val="22"/>
          <w:szCs w:val="22"/>
        </w:rPr>
        <w:t>年</w:t>
      </w:r>
      <w:r>
        <w:rPr>
          <w:rFonts w:ascii="宋体" w:eastAsia="宋体" w:hAnsi="宋体" w:cs="宋体"/>
          <w:color w:val="000000"/>
          <w:sz w:val="22"/>
          <w:szCs w:val="22"/>
        </w:rPr>
        <w:t>3</w:t>
      </w:r>
      <w:r>
        <w:rPr>
          <w:rFonts w:ascii="宋体" w:eastAsia="宋体" w:hAnsi="宋体" w:cs="宋体"/>
          <w:color w:val="000000"/>
          <w:sz w:val="22"/>
          <w:szCs w:val="22"/>
        </w:rPr>
        <w:t>月</w:t>
      </w:r>
      <w:r>
        <w:rPr>
          <w:rFonts w:ascii="宋体" w:eastAsia="宋体" w:hAnsi="宋体" w:cs="宋体"/>
          <w:color w:val="000000"/>
          <w:sz w:val="22"/>
          <w:szCs w:val="22"/>
        </w:rPr>
        <w:t>31</w:t>
      </w:r>
      <w:r>
        <w:rPr>
          <w:rFonts w:ascii="宋体" w:eastAsia="宋体" w:hAnsi="宋体" w:cs="宋体"/>
          <w:color w:val="000000"/>
          <w:sz w:val="22"/>
          <w:szCs w:val="22"/>
        </w:rPr>
        <w:t>日，管桩水上沉桩定位导向架在</w:t>
      </w:r>
      <w:r>
        <w:rPr>
          <w:rFonts w:ascii="宋体" w:eastAsia="宋体" w:hAnsi="宋体" w:cs="宋体"/>
          <w:color w:val="000000"/>
          <w:sz w:val="22"/>
          <w:szCs w:val="22"/>
        </w:rPr>
        <w:t>HD1</w:t>
      </w:r>
      <w:r>
        <w:rPr>
          <w:rFonts w:ascii="宋体" w:eastAsia="宋体" w:hAnsi="宋体" w:cs="宋体"/>
          <w:color w:val="000000"/>
          <w:sz w:val="22"/>
          <w:szCs w:val="22"/>
        </w:rPr>
        <w:t>标已成功应用并完成</w:t>
      </w:r>
      <w:r>
        <w:rPr>
          <w:rFonts w:ascii="宋体" w:eastAsia="宋体" w:hAnsi="宋体" w:cs="宋体"/>
          <w:color w:val="000000"/>
          <w:sz w:val="22"/>
          <w:szCs w:val="22"/>
        </w:rPr>
        <w:t>PHC</w:t>
      </w:r>
      <w:r>
        <w:rPr>
          <w:rFonts w:ascii="宋体" w:eastAsia="宋体" w:hAnsi="宋体" w:cs="宋体"/>
          <w:color w:val="000000"/>
          <w:sz w:val="22"/>
          <w:szCs w:val="22"/>
        </w:rPr>
        <w:t>桩沉桩</w:t>
      </w:r>
      <w:r>
        <w:rPr>
          <w:rFonts w:ascii="宋体" w:eastAsia="宋体" w:hAnsi="宋体" w:cs="宋体"/>
          <w:color w:val="000000"/>
          <w:sz w:val="22"/>
          <w:szCs w:val="22"/>
        </w:rPr>
        <w:t>4405</w:t>
      </w:r>
      <w:r>
        <w:rPr>
          <w:rFonts w:ascii="宋体" w:eastAsia="宋体" w:hAnsi="宋体" w:cs="宋体"/>
          <w:color w:val="000000"/>
          <w:sz w:val="22"/>
          <w:szCs w:val="22"/>
        </w:rPr>
        <w:t>根。使用导向架后，通过对桩位及垂直度偏差测量数据进行统计分析，平面偏位均值由原来的</w:t>
      </w:r>
      <w:r>
        <w:rPr>
          <w:rFonts w:ascii="宋体" w:eastAsia="宋体" w:hAnsi="宋体" w:cs="宋体"/>
          <w:color w:val="000000"/>
          <w:sz w:val="22"/>
          <w:szCs w:val="22"/>
        </w:rPr>
        <w:t>87mm</w:t>
      </w:r>
      <w:r>
        <w:rPr>
          <w:rFonts w:ascii="宋体" w:eastAsia="宋体" w:hAnsi="宋体" w:cs="宋体"/>
          <w:color w:val="000000"/>
          <w:sz w:val="22"/>
          <w:szCs w:val="22"/>
        </w:rPr>
        <w:t>降低为</w:t>
      </w:r>
      <w:r>
        <w:rPr>
          <w:rFonts w:ascii="宋体" w:eastAsia="宋体" w:hAnsi="宋体" w:cs="宋体"/>
          <w:color w:val="000000"/>
          <w:sz w:val="22"/>
          <w:szCs w:val="22"/>
        </w:rPr>
        <w:t>46mm</w:t>
      </w:r>
      <w:r>
        <w:rPr>
          <w:rFonts w:ascii="宋体" w:eastAsia="宋体" w:hAnsi="宋体" w:cs="宋体"/>
          <w:color w:val="000000"/>
          <w:sz w:val="22"/>
          <w:szCs w:val="22"/>
        </w:rPr>
        <w:t>，桩身垂直度偏差均值由原来的</w:t>
      </w:r>
      <w:r>
        <w:rPr>
          <w:rFonts w:ascii="宋体" w:eastAsia="宋体" w:hAnsi="宋体" w:cs="宋体"/>
          <w:color w:val="000000"/>
          <w:sz w:val="22"/>
          <w:szCs w:val="22"/>
        </w:rPr>
        <w:t>8mm/</w:t>
      </w:r>
      <w:r>
        <w:rPr>
          <w:rFonts w:ascii="宋体" w:eastAsia="宋体" w:hAnsi="宋体" w:cs="宋体"/>
          <w:color w:val="000000"/>
          <w:sz w:val="22"/>
          <w:szCs w:val="22"/>
        </w:rPr>
        <w:t>米降低为</w:t>
      </w:r>
      <w:r>
        <w:rPr>
          <w:rFonts w:ascii="宋体" w:eastAsia="宋体" w:hAnsi="宋体" w:cs="宋体"/>
          <w:color w:val="000000"/>
          <w:sz w:val="22"/>
          <w:szCs w:val="22"/>
        </w:rPr>
        <w:t>5mm/</w:t>
      </w:r>
      <w:r>
        <w:rPr>
          <w:rFonts w:ascii="宋体" w:eastAsia="宋体" w:hAnsi="宋体" w:cs="宋体"/>
          <w:color w:val="000000"/>
          <w:sz w:val="22"/>
          <w:szCs w:val="22"/>
        </w:rPr>
        <w:t>米，现场沉桩线型顺直，能达到横看一条线，平看一个面的观感效果。经统计，现场平均沉桩效率已经达到</w:t>
      </w:r>
      <w:r>
        <w:rPr>
          <w:rFonts w:ascii="宋体" w:eastAsia="宋体" w:hAnsi="宋体" w:cs="宋体"/>
          <w:color w:val="000000"/>
          <w:sz w:val="22"/>
          <w:szCs w:val="22"/>
        </w:rPr>
        <w:t>116</w:t>
      </w:r>
      <w:r>
        <w:rPr>
          <w:rFonts w:ascii="宋体" w:eastAsia="宋体" w:hAnsi="宋体" w:cs="宋体"/>
          <w:color w:val="000000"/>
          <w:sz w:val="22"/>
          <w:szCs w:val="22"/>
        </w:rPr>
        <w:t>根</w:t>
      </w:r>
      <w:r>
        <w:rPr>
          <w:rFonts w:ascii="宋体" w:eastAsia="宋体" w:hAnsi="宋体" w:cs="宋体"/>
          <w:color w:val="000000"/>
          <w:sz w:val="22"/>
          <w:szCs w:val="22"/>
        </w:rPr>
        <w:t>/</w:t>
      </w:r>
      <w:r>
        <w:rPr>
          <w:rFonts w:ascii="宋体" w:eastAsia="宋体" w:hAnsi="宋体" w:cs="宋体"/>
          <w:color w:val="000000"/>
          <w:sz w:val="22"/>
          <w:szCs w:val="22"/>
        </w:rPr>
        <w:t>台班，沉桩效率显著提高。</w:t>
      </w:r>
    </w:p>
    <w:p w:rsidR="00CD3991" w:rsidRDefault="00D308C6">
      <w:pPr>
        <w:jc w:val="center"/>
        <w:rPr>
          <w:rFonts w:ascii="仿宋" w:eastAsia="仿宋" w:hAnsi="仿宋"/>
          <w:bCs/>
          <w:szCs w:val="32"/>
        </w:rPr>
      </w:pPr>
      <w:r>
        <w:rPr>
          <w:rFonts w:ascii="仿宋" w:eastAsia="仿宋" w:hAnsi="仿宋" w:hint="eastAsia"/>
          <w:bCs/>
          <w:noProof/>
          <w:szCs w:val="32"/>
        </w:rPr>
        <w:drawing>
          <wp:inline distT="0" distB="0" distL="0" distR="0">
            <wp:extent cx="4594860" cy="310515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5">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94860" cy="3105150"/>
                    </a:xfrm>
                    <a:prstGeom prst="rect">
                      <a:avLst/>
                    </a:prstGeom>
                  </pic:spPr>
                </pic:pic>
              </a:graphicData>
            </a:graphic>
          </wp:inline>
        </w:drawing>
      </w:r>
    </w:p>
    <w:p w:rsidR="00CD3991" w:rsidRDefault="00D308C6">
      <w:pPr>
        <w:snapToGrid w:val="0"/>
        <w:spacing w:line="360" w:lineRule="auto"/>
        <w:jc w:val="center"/>
        <w:rPr>
          <w:rFonts w:ascii="宋体" w:eastAsia="宋体" w:hAnsi="宋体" w:cs="宋体"/>
          <w:b/>
          <w:bCs/>
          <w:sz w:val="22"/>
          <w:szCs w:val="22"/>
        </w:rPr>
      </w:pPr>
      <w:r>
        <w:rPr>
          <w:rFonts w:ascii="宋体" w:eastAsia="宋体" w:hAnsi="宋体" w:cs="宋体" w:hint="eastAsia"/>
          <w:b/>
          <w:bCs/>
          <w:sz w:val="22"/>
          <w:szCs w:val="22"/>
        </w:rPr>
        <w:t>图</w:t>
      </w:r>
      <w:r>
        <w:rPr>
          <w:rFonts w:ascii="宋体" w:eastAsia="宋体" w:hAnsi="宋体" w:cs="宋体"/>
          <w:b/>
          <w:bCs/>
          <w:sz w:val="22"/>
          <w:szCs w:val="22"/>
        </w:rPr>
        <w:t xml:space="preserve">8 </w:t>
      </w:r>
      <w:r>
        <w:rPr>
          <w:rFonts w:ascii="宋体" w:eastAsia="宋体" w:hAnsi="宋体" w:cs="宋体" w:hint="eastAsia"/>
          <w:b/>
          <w:bCs/>
          <w:sz w:val="22"/>
          <w:szCs w:val="22"/>
        </w:rPr>
        <w:t>管桩线型顺直</w:t>
      </w:r>
    </w:p>
    <w:p w:rsidR="00CD3991" w:rsidRDefault="00D308C6" w:rsidP="00851BFF">
      <w:pPr>
        <w:spacing w:beforeLines="50" w:afterLines="50" w:line="360" w:lineRule="auto"/>
        <w:jc w:val="center"/>
        <w:rPr>
          <w:rFonts w:ascii="黑体" w:eastAsia="黑体" w:hAnsi="黑体" w:cs="黑体"/>
          <w:b/>
          <w:bCs/>
          <w:color w:val="002060"/>
          <w:sz w:val="24"/>
        </w:rPr>
      </w:pPr>
      <w:r>
        <w:rPr>
          <w:rFonts w:ascii="黑体" w:eastAsia="黑体" w:hAnsi="黑体" w:cs="黑体" w:hint="eastAsia"/>
          <w:b/>
          <w:bCs/>
          <w:color w:val="002060"/>
          <w:sz w:val="24"/>
        </w:rPr>
        <w:t>4.</w:t>
      </w:r>
      <w:r>
        <w:rPr>
          <w:rFonts w:ascii="黑体" w:eastAsia="黑体" w:hAnsi="黑体" w:cs="黑体" w:hint="eastAsia"/>
          <w:b/>
          <w:bCs/>
          <w:color w:val="002060"/>
          <w:sz w:val="24"/>
        </w:rPr>
        <w:t>推广应用前景</w:t>
      </w:r>
    </w:p>
    <w:p w:rsidR="00CD3991" w:rsidRDefault="00D308C6">
      <w:pPr>
        <w:spacing w:line="312" w:lineRule="auto"/>
        <w:ind w:firstLineChars="200" w:firstLine="440"/>
        <w:rPr>
          <w:rFonts w:ascii="宋体" w:eastAsia="宋体" w:hAnsi="宋体" w:cs="宋体"/>
          <w:color w:val="000000"/>
          <w:sz w:val="22"/>
          <w:szCs w:val="22"/>
        </w:rPr>
      </w:pPr>
      <w:r>
        <w:rPr>
          <w:rFonts w:ascii="宋体" w:eastAsia="宋体" w:hAnsi="宋体" w:cs="宋体" w:hint="eastAsia"/>
          <w:color w:val="000000"/>
          <w:sz w:val="22"/>
          <w:szCs w:val="22"/>
        </w:rPr>
        <w:t>随着社会经济的发展，现有航道已渐渐不能满足需要，提高航道等级保障通航安全是航</w:t>
      </w:r>
      <w:r>
        <w:rPr>
          <w:rFonts w:ascii="宋体" w:eastAsia="宋体" w:hAnsi="宋体" w:cs="宋体" w:hint="eastAsia"/>
          <w:color w:val="000000"/>
          <w:sz w:val="22"/>
          <w:szCs w:val="22"/>
        </w:rPr>
        <w:t>道建设的首要任务。内河航道的扩建、加固过程中一般为不断航施工，需要建设者们寻求保通航、保安全、保质量的平衡点，该导向架的投入，在不降低施工质量的前提下，使得占用航道的时间缩短、占用水域的面积缩小，也就使得施工及船舶航行更加安全。</w:t>
      </w:r>
      <w:bookmarkStart w:id="0" w:name="_GoBack"/>
      <w:bookmarkEnd w:id="0"/>
    </w:p>
    <w:sectPr w:rsidR="00CD3991" w:rsidSect="00CD3991">
      <w:headerReference w:type="default" r:id="rId16"/>
      <w:footerReference w:type="default" r:id="rId17"/>
      <w:pgSz w:w="11906" w:h="16838"/>
      <w:pgMar w:top="1440" w:right="1080" w:bottom="1440" w:left="1080" w:header="1134" w:footer="1191" w:gutter="0"/>
      <w:pgNumType w:fmt="numberInDash"/>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308C6" w:rsidRDefault="00D308C6" w:rsidP="00CD3991">
      <w:r>
        <w:separator/>
      </w:r>
    </w:p>
  </w:endnote>
  <w:endnote w:type="continuationSeparator" w:id="1">
    <w:p w:rsidR="00D308C6" w:rsidRDefault="00D308C6" w:rsidP="00CD399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3991" w:rsidRDefault="00CD3991">
    <w:pPr>
      <w:pStyle w:val="a4"/>
    </w:pPr>
    <w:r>
      <w:pict>
        <v:shapetype id="_x0000_t202" coordsize="21600,21600" o:spt="202" path="m,l,21600r21600,l21600,xe">
          <v:stroke joinstyle="miter"/>
          <v:path gradientshapeok="t" o:connecttype="rect"/>
        </v:shapetype>
        <v:shape id="_x0000_s1026" type="#_x0000_t202" style="position:absolute;margin-left:0;margin-top:0;width:2in;height:2in;z-index:251659264;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filled="f" stroked="f" strokeweight=".5pt">
          <v:textbox style="mso-fit-shape-to-text:t" inset="0,0,0,0">
            <w:txbxContent>
              <w:p w:rsidR="00CD3991" w:rsidRDefault="00CD3991">
                <w:pPr>
                  <w:pStyle w:val="a4"/>
                  <w:jc w:val="center"/>
                </w:pPr>
                <w:r>
                  <w:rPr>
                    <w:sz w:val="21"/>
                    <w:szCs w:val="32"/>
                  </w:rPr>
                  <w:fldChar w:fldCharType="begin"/>
                </w:r>
                <w:r w:rsidR="00D308C6">
                  <w:rPr>
                    <w:sz w:val="21"/>
                    <w:szCs w:val="32"/>
                  </w:rPr>
                  <w:instrText xml:space="preserve"> PAGE  \* MERGEFORMAT </w:instrText>
                </w:r>
                <w:r>
                  <w:rPr>
                    <w:sz w:val="21"/>
                    <w:szCs w:val="32"/>
                  </w:rPr>
                  <w:fldChar w:fldCharType="separate"/>
                </w:r>
                <w:r w:rsidR="00851BFF">
                  <w:rPr>
                    <w:noProof/>
                    <w:sz w:val="21"/>
                    <w:szCs w:val="32"/>
                  </w:rPr>
                  <w:t>- 1 -</w:t>
                </w:r>
                <w:r>
                  <w:rPr>
                    <w:sz w:val="21"/>
                    <w:szCs w:val="32"/>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308C6" w:rsidRDefault="00D308C6" w:rsidP="00CD3991">
      <w:r>
        <w:separator/>
      </w:r>
    </w:p>
  </w:footnote>
  <w:footnote w:type="continuationSeparator" w:id="1">
    <w:p w:rsidR="00D308C6" w:rsidRDefault="00D308C6" w:rsidP="00CD399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3991" w:rsidRDefault="00CD3991">
    <w:pPr>
      <w:pStyle w:val="a5"/>
      <w:pBdr>
        <w:bottom w:val="single" w:sz="4" w:space="1" w:color="auto"/>
      </w:pBdr>
      <w:jc w:val="center"/>
      <w:rPr>
        <w:rFonts w:ascii="黑体" w:eastAsia="黑体" w:hAnsi="黑体" w:cs="黑体"/>
      </w:rPr>
    </w:pPr>
    <w:r w:rsidRPr="00CD3991">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8469" o:spid="_x0000_s1032" type="#_x0000_t136" style="position:absolute;left:0;text-align:left;margin-left:0;margin-top:0;width:629.3pt;height:59.75pt;rotation:-45;z-index:-251656192;mso-position-horizontal:center;mso-position-horizontal-relative:margin;mso-position-vertical:center;mso-position-vertical-relative:margin" fillcolor="silver" stroked="f">
          <v:fill opacity=".5"/>
          <v:textpath style="font-family:&quot;仿宋_GB2312&quot;" trim="t" fitpath="t" string="CHCA中国公路建设行业协会"/>
          <o:lock v:ext="edit" aspectratio="t"/>
          <w10:wrap anchorx="margin" anchory="margin"/>
        </v:shape>
      </w:pict>
    </w:r>
    <w:r w:rsidR="00D308C6">
      <w:rPr>
        <w:rFonts w:ascii="黑体" w:eastAsia="黑体" w:hAnsi="黑体" w:cs="黑体" w:hint="eastAsia"/>
      </w:rPr>
      <w:t>202</w:t>
    </w:r>
    <w:r w:rsidR="00D308C6">
      <w:rPr>
        <w:rFonts w:ascii="黑体" w:eastAsia="黑体" w:hAnsi="黑体" w:cs="黑体" w:hint="eastAsia"/>
      </w:rPr>
      <w:t>1</w:t>
    </w:r>
    <w:r w:rsidR="00D308C6">
      <w:rPr>
        <w:rFonts w:ascii="黑体" w:eastAsia="黑体" w:hAnsi="黑体" w:cs="黑体" w:hint="eastAsia"/>
      </w:rPr>
      <w:t>年度交通建设“微创新”成果展示</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420"/>
  <w:drawingGridVerticalSpacing w:val="156"/>
  <w:noPunctuationKerning/>
  <w:characterSpacingControl w:val="compressPunctuation"/>
  <w:hdrShapeDefaults>
    <o:shapedefaults v:ext="edit" spidmax="3074"/>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YWQxZjZlOTE5MWM0YjBmNTUwZDQ1OTBkYmM2YmEzMzIifQ=="/>
  </w:docVars>
  <w:rsids>
    <w:rsidRoot w:val="44DE38B5"/>
    <w:rsid w:val="0000671F"/>
    <w:rsid w:val="000841BB"/>
    <w:rsid w:val="000D0060"/>
    <w:rsid w:val="000D0969"/>
    <w:rsid w:val="00135A17"/>
    <w:rsid w:val="001A4ABC"/>
    <w:rsid w:val="001D1302"/>
    <w:rsid w:val="002E545C"/>
    <w:rsid w:val="004640A1"/>
    <w:rsid w:val="005C37A3"/>
    <w:rsid w:val="005F0272"/>
    <w:rsid w:val="0075164E"/>
    <w:rsid w:val="00773716"/>
    <w:rsid w:val="007F6110"/>
    <w:rsid w:val="00851BFF"/>
    <w:rsid w:val="00900FFC"/>
    <w:rsid w:val="00A64DDC"/>
    <w:rsid w:val="00BB1CAF"/>
    <w:rsid w:val="00C607FB"/>
    <w:rsid w:val="00CD3991"/>
    <w:rsid w:val="00D308C6"/>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709702F"/>
    <w:rsid w:val="5814240D"/>
    <w:rsid w:val="59EC4EE4"/>
    <w:rsid w:val="5D074DE8"/>
    <w:rsid w:val="5DD031A6"/>
    <w:rsid w:val="61B92F94"/>
    <w:rsid w:val="63D15422"/>
    <w:rsid w:val="640E2B99"/>
    <w:rsid w:val="644D659F"/>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D3991"/>
    <w:pPr>
      <w:widowControl w:val="0"/>
      <w:jc w:val="both"/>
    </w:pPr>
    <w:rPr>
      <w:rFonts w:eastAsia="仿宋_GB2312"/>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rsid w:val="00CD3991"/>
    <w:pPr>
      <w:jc w:val="left"/>
    </w:pPr>
  </w:style>
  <w:style w:type="paragraph" w:styleId="a4">
    <w:name w:val="footer"/>
    <w:basedOn w:val="a"/>
    <w:qFormat/>
    <w:rsid w:val="00CD3991"/>
    <w:pPr>
      <w:tabs>
        <w:tab w:val="center" w:pos="4153"/>
        <w:tab w:val="right" w:pos="8306"/>
      </w:tabs>
      <w:snapToGrid w:val="0"/>
      <w:jc w:val="left"/>
    </w:pPr>
    <w:rPr>
      <w:sz w:val="18"/>
    </w:rPr>
  </w:style>
  <w:style w:type="paragraph" w:styleId="a5">
    <w:name w:val="header"/>
    <w:basedOn w:val="a"/>
    <w:qFormat/>
    <w:rsid w:val="00CD3991"/>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annotation subject"/>
    <w:basedOn w:val="a3"/>
    <w:next w:val="a3"/>
    <w:link w:val="Char0"/>
    <w:rsid w:val="00CD3991"/>
    <w:rPr>
      <w:b/>
      <w:bCs/>
    </w:rPr>
  </w:style>
  <w:style w:type="table" w:styleId="a7">
    <w:name w:val="Table Grid"/>
    <w:basedOn w:val="a1"/>
    <w:qFormat/>
    <w:rsid w:val="00CD3991"/>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qFormat/>
    <w:rsid w:val="00CD3991"/>
    <w:rPr>
      <w:sz w:val="21"/>
      <w:szCs w:val="21"/>
    </w:rPr>
  </w:style>
  <w:style w:type="character" w:customStyle="1" w:styleId="Char">
    <w:name w:val="批注文字 Char"/>
    <w:basedOn w:val="a0"/>
    <w:link w:val="a3"/>
    <w:rsid w:val="00CD3991"/>
    <w:rPr>
      <w:rFonts w:eastAsia="仿宋_GB2312"/>
      <w:kern w:val="2"/>
      <w:sz w:val="32"/>
      <w:szCs w:val="24"/>
    </w:rPr>
  </w:style>
  <w:style w:type="character" w:customStyle="1" w:styleId="Char0">
    <w:name w:val="批注主题 Char"/>
    <w:basedOn w:val="Char"/>
    <w:link w:val="a6"/>
    <w:rsid w:val="00CD3991"/>
    <w:rPr>
      <w:rFonts w:eastAsia="仿宋_GB2312"/>
      <w:b/>
      <w:bCs/>
      <w:kern w:val="2"/>
      <w:sz w:val="32"/>
      <w:szCs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5</Pages>
  <Words>362</Words>
  <Characters>2070</Characters>
  <Application>Microsoft Office Word</Application>
  <DocSecurity>0</DocSecurity>
  <Lines>17</Lines>
  <Paragraphs>4</Paragraphs>
  <ScaleCrop>false</ScaleCrop>
  <Company/>
  <LinksUpToDate>false</LinksUpToDate>
  <CharactersWithSpaces>2428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anda</dc:creator>
  <cp:lastModifiedBy>DELL</cp:lastModifiedBy>
  <cp:revision>18</cp:revision>
  <dcterms:created xsi:type="dcterms:W3CDTF">2021-06-02T06:49:00Z</dcterms:created>
  <dcterms:modified xsi:type="dcterms:W3CDTF">2022-09-06T06:50:00Z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3E63E0B148284D0B924A4CE4407DC026</vt:lpwstr>
  </property>
</Properties>
</file>