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288" w:lineRule="auto"/>
        <w:rPr>
          <w:rFonts w:ascii="宋体" w:hAnsi="宋体" w:eastAsia="宋体" w:cs="宋体"/>
          <w:b/>
          <w:bCs/>
          <w:color w:val="000000"/>
          <w:sz w:val="21"/>
          <w:szCs w:val="21"/>
        </w:rPr>
      </w:pPr>
    </w:p>
    <w:p>
      <w:pPr>
        <w:snapToGrid w:val="0"/>
        <w:spacing w:line="288" w:lineRule="auto"/>
        <w:rPr>
          <w:rFonts w:hint="eastAsia" w:ascii="宋体" w:hAnsi="宋体" w:eastAsia="宋体" w:cs="宋体"/>
          <w:color w:val="000000"/>
          <w:sz w:val="21"/>
          <w:szCs w:val="21"/>
          <w:lang w:val="en-US" w:eastAsia="zh-CN"/>
        </w:rPr>
      </w:pPr>
      <w:r>
        <w:rPr>
          <w:rFonts w:hint="eastAsia" w:ascii="宋体" w:hAnsi="宋体" w:eastAsia="宋体" w:cs="宋体"/>
          <w:b/>
          <w:bCs/>
          <w:color w:val="000000"/>
          <w:sz w:val="21"/>
          <w:szCs w:val="21"/>
        </w:rPr>
        <w:t>[类  型]</w:t>
      </w:r>
      <w:r>
        <w:rPr>
          <w:rFonts w:hint="eastAsia" w:ascii="宋体" w:hAnsi="宋体" w:eastAsia="宋体" w:cs="宋体"/>
          <w:color w:val="000000"/>
          <w:sz w:val="21"/>
          <w:szCs w:val="21"/>
        </w:rPr>
        <w:t>机具设备</w:t>
      </w:r>
      <w:r>
        <w:rPr>
          <w:rFonts w:hint="eastAsia" w:ascii="宋体" w:hAnsi="宋体" w:eastAsia="宋体" w:cs="宋体"/>
          <w:color w:val="000000"/>
          <w:sz w:val="21"/>
          <w:szCs w:val="21"/>
          <w:lang w:val="en-US" w:eastAsia="zh-CN"/>
        </w:rPr>
        <w:t>微改造</w:t>
      </w:r>
    </w:p>
    <w:p>
      <w:pPr>
        <w:snapToGrid w:val="0"/>
        <w:spacing w:line="288" w:lineRule="auto"/>
        <w:rPr>
          <w:rFonts w:ascii="宋体" w:hAnsi="宋体" w:eastAsia="宋体" w:cs="宋体"/>
          <w:color w:val="000000"/>
          <w:sz w:val="21"/>
          <w:szCs w:val="21"/>
        </w:rPr>
      </w:pPr>
      <w:r>
        <w:rPr>
          <w:rFonts w:hint="eastAsia" w:ascii="宋体" w:hAnsi="宋体" w:eastAsia="宋体" w:cs="宋体"/>
          <w:b/>
          <w:bCs/>
          <w:color w:val="000000"/>
          <w:sz w:val="21"/>
          <w:szCs w:val="21"/>
        </w:rPr>
        <w:t>[关键词]</w:t>
      </w:r>
      <w:r>
        <w:rPr>
          <w:rFonts w:hint="eastAsia" w:ascii="宋体" w:hAnsi="宋体" w:eastAsia="宋体" w:cs="宋体"/>
          <w:color w:val="000000"/>
          <w:sz w:val="21"/>
          <w:szCs w:val="21"/>
          <w:lang w:eastAsia="zh-CN"/>
        </w:rPr>
        <w:t>沥青混合料</w:t>
      </w:r>
      <w:r>
        <w:rPr>
          <w:rFonts w:hint="eastAsia" w:ascii="宋体" w:hAnsi="宋体" w:eastAsia="宋体" w:cs="宋体"/>
          <w:color w:val="000000"/>
          <w:sz w:val="21"/>
          <w:szCs w:val="21"/>
        </w:rPr>
        <w:t>，</w:t>
      </w:r>
      <w:r>
        <w:rPr>
          <w:rFonts w:hint="eastAsia" w:ascii="宋体" w:hAnsi="宋体" w:eastAsia="宋体" w:cs="宋体"/>
          <w:color w:val="000000"/>
          <w:sz w:val="21"/>
          <w:szCs w:val="21"/>
          <w:lang w:eastAsia="zh-CN"/>
        </w:rPr>
        <w:t>沥青含量、脱模装置</w:t>
      </w:r>
    </w:p>
    <w:p>
      <w:pPr>
        <w:snapToGrid w:val="0"/>
        <w:rPr>
          <w:rFonts w:ascii="方正小标宋简体" w:hAnsi="方正小标宋简体" w:eastAsia="方正小标宋简体" w:cs="方正小标宋简体"/>
          <w:color w:val="000000"/>
          <w:sz w:val="21"/>
          <w:szCs w:val="21"/>
        </w:rPr>
      </w:pPr>
    </w:p>
    <w:p>
      <w:pPr>
        <w:spacing w:beforeLines="50"/>
        <w:jc w:val="center"/>
        <w:rPr>
          <w:rFonts w:hint="eastAsia" w:ascii="方正小标宋简体" w:hAnsi="方正小标宋简体" w:eastAsia="方正小标宋简体" w:cs="方正小标宋简体"/>
          <w:color w:val="000000"/>
          <w:szCs w:val="32"/>
          <w:lang w:eastAsia="zh-CN"/>
        </w:rPr>
      </w:pPr>
      <w:r>
        <w:rPr>
          <w:rFonts w:hint="eastAsia" w:ascii="方正小标宋简体" w:hAnsi="方正小标宋简体" w:eastAsia="方正小标宋简体" w:cs="方正小标宋简体"/>
          <w:color w:val="000000"/>
          <w:szCs w:val="32"/>
          <w:lang w:eastAsia="zh-CN"/>
        </w:rPr>
        <w:t>沥青混合料试件脱模装置</w:t>
      </w:r>
    </w:p>
    <w:p>
      <w:pPr>
        <w:spacing w:beforeLines="50"/>
        <w:jc w:val="center"/>
        <w:rPr>
          <w:sz w:val="24"/>
        </w:rPr>
      </w:pPr>
      <w:r>
        <w:rPr>
          <w:rFonts w:hint="eastAsia"/>
          <w:sz w:val="24"/>
        </w:rPr>
        <w:t>JWC202</w:t>
      </w:r>
      <w:r>
        <w:rPr>
          <w:rFonts w:hint="eastAsia"/>
          <w:sz w:val="24"/>
          <w:lang w:val="en-US" w:eastAsia="zh-CN"/>
        </w:rPr>
        <w:t>1</w:t>
      </w:r>
      <w:r>
        <w:rPr>
          <w:rFonts w:hint="eastAsia"/>
          <w:sz w:val="24"/>
        </w:rPr>
        <w:t>-0</w:t>
      </w:r>
      <w:r>
        <w:rPr>
          <w:rFonts w:hint="eastAsia"/>
          <w:sz w:val="24"/>
          <w:lang w:val="en-US" w:eastAsia="zh-CN"/>
        </w:rPr>
        <w:t>63</w:t>
      </w:r>
    </w:p>
    <w:p>
      <w:pPr>
        <w:spacing w:beforeLines="50"/>
        <w:jc w:val="center"/>
        <w:rPr>
          <w:rFonts w:ascii="黑体" w:hAnsi="黑体" w:eastAsia="黑体" w:cs="黑体"/>
          <w:sz w:val="24"/>
        </w:rPr>
      </w:pPr>
      <w:r>
        <w:rPr>
          <w:rFonts w:hint="eastAsia" w:ascii="黑体" w:hAnsi="黑体" w:eastAsia="黑体" w:cs="黑体"/>
          <w:sz w:val="24"/>
          <w:lang w:eastAsia="zh-CN"/>
        </w:rPr>
        <w:t>中国葛洲坝集团第二工程有限公司</w:t>
      </w:r>
      <w:r>
        <w:rPr>
          <w:rFonts w:hint="eastAsia" w:ascii="黑体" w:hAnsi="黑体" w:eastAsia="黑体" w:cs="黑体"/>
          <w:sz w:val="24"/>
        </w:rPr>
        <w:t>、</w:t>
      </w:r>
      <w:r>
        <w:rPr>
          <w:rFonts w:hint="eastAsia" w:ascii="黑体" w:hAnsi="黑体" w:eastAsia="黑体" w:cs="黑体"/>
          <w:sz w:val="24"/>
          <w:lang w:eastAsia="zh-CN"/>
        </w:rPr>
        <w:t>湖北省宜昌市鼎诚工程技术服务有限公司</w:t>
      </w:r>
    </w:p>
    <w:p>
      <w:pPr>
        <w:spacing w:beforeLines="50"/>
        <w:jc w:val="center"/>
        <w:rPr>
          <w:sz w:val="24"/>
        </w:rPr>
      </w:pPr>
      <w:r>
        <w:rPr>
          <w:rFonts w:hint="eastAsia"/>
          <w:sz w:val="24"/>
          <w:lang w:eastAsia="zh-CN"/>
        </w:rPr>
        <w:t>孙红雨</w:t>
      </w:r>
      <w:r>
        <w:rPr>
          <w:rFonts w:hint="eastAsia"/>
          <w:sz w:val="24"/>
        </w:rPr>
        <w:t>、</w:t>
      </w:r>
      <w:r>
        <w:rPr>
          <w:rFonts w:hint="eastAsia"/>
          <w:sz w:val="24"/>
          <w:lang w:eastAsia="zh-CN"/>
        </w:rPr>
        <w:t>李志亮</w:t>
      </w:r>
      <w:r>
        <w:rPr>
          <w:rFonts w:hint="eastAsia"/>
          <w:sz w:val="24"/>
        </w:rPr>
        <w:t>、</w:t>
      </w:r>
      <w:r>
        <w:rPr>
          <w:rFonts w:hint="eastAsia"/>
          <w:sz w:val="24"/>
          <w:lang w:eastAsia="zh-CN"/>
        </w:rPr>
        <w:t>鲍飞剑</w:t>
      </w:r>
      <w:r>
        <w:rPr>
          <w:rFonts w:hint="eastAsia"/>
          <w:sz w:val="24"/>
        </w:rPr>
        <w:t>、</w:t>
      </w:r>
      <w:r>
        <w:rPr>
          <w:rFonts w:hint="eastAsia"/>
          <w:sz w:val="24"/>
          <w:lang w:eastAsia="zh-CN"/>
        </w:rPr>
        <w:t>王晓宏、朱伟兵</w:t>
      </w:r>
      <w:r>
        <w:rPr>
          <w:rFonts w:hint="eastAsia"/>
          <w:sz w:val="24"/>
        </w:rPr>
        <w:t>、</w:t>
      </w:r>
      <w:r>
        <w:rPr>
          <w:rFonts w:hint="eastAsia"/>
          <w:sz w:val="24"/>
          <w:lang w:eastAsia="zh-CN"/>
        </w:rPr>
        <w:t>柯俊涛</w:t>
      </w:r>
      <w:r>
        <w:rPr>
          <w:rFonts w:hint="eastAsia"/>
          <w:sz w:val="24"/>
        </w:rPr>
        <w:t>、</w:t>
      </w:r>
      <w:r>
        <w:rPr>
          <w:rFonts w:hint="eastAsia"/>
          <w:sz w:val="24"/>
          <w:lang w:eastAsia="zh-CN"/>
        </w:rPr>
        <w:t>冉红彬、张立文</w:t>
      </w:r>
    </w:p>
    <w:p>
      <w:pPr>
        <w:spacing w:beforeLines="50"/>
        <w:jc w:val="center"/>
        <w:rPr>
          <w:sz w:val="24"/>
        </w:rPr>
      </w:pP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1.成果简介</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1.1技术背景</w:t>
      </w:r>
    </w:p>
    <w:p>
      <w:pPr>
        <w:spacing w:line="312" w:lineRule="auto"/>
        <w:ind w:firstLine="440" w:firstLineChars="200"/>
        <w:rPr>
          <w:rFonts w:ascii="宋体" w:hAnsi="宋体" w:eastAsia="宋体" w:cs="宋体"/>
          <w:b/>
          <w:bCs/>
          <w:color w:val="000000"/>
          <w:sz w:val="22"/>
          <w:szCs w:val="22"/>
        </w:rPr>
      </w:pPr>
      <w:r>
        <w:rPr>
          <w:rFonts w:hint="eastAsia" w:ascii="宋体" w:hAnsi="宋体" w:eastAsia="宋体" w:cs="宋体"/>
          <w:sz w:val="22"/>
          <w:szCs w:val="22"/>
          <w:lang w:val="en-US" w:eastAsia="zh-CN"/>
        </w:rPr>
        <w:t>JTG E20-2011《公路工程沥青及沥青混合料试验规程》T0702-2011 沥青混合料试件制作方法（击实法）中5.2条规定：卸去套筒和底座，将装有试件的试模横向放置冷却至室温后（不少于12h），置脱模机上脱出试件。</w:t>
      </w:r>
      <w:r>
        <w:rPr>
          <w:rFonts w:hint="eastAsia" w:ascii="宋体" w:hAnsi="宋体" w:eastAsia="宋体" w:cs="宋体"/>
          <w:sz w:val="22"/>
          <w:szCs w:val="22"/>
        </w:rPr>
        <w:t>不足之处</w:t>
      </w:r>
      <w:r>
        <w:rPr>
          <w:rFonts w:hint="eastAsia" w:ascii="宋体" w:hAnsi="宋体" w:eastAsia="宋体" w:cs="宋体"/>
          <w:sz w:val="22"/>
          <w:szCs w:val="22"/>
          <w:lang w:eastAsia="zh-CN"/>
        </w:rPr>
        <w:t>用此脱模器一是沥青含量高时的沥青混合料不容易脱出来，容易发生黏连，二是套筒高度过低，此套筒内径</w:t>
      </w:r>
      <w:r>
        <w:rPr>
          <w:rFonts w:hint="eastAsia" w:ascii="宋体" w:hAnsi="宋体" w:eastAsia="宋体" w:cs="宋体"/>
          <w:sz w:val="22"/>
          <w:szCs w:val="22"/>
          <w:lang w:val="en-US" w:eastAsia="zh-CN"/>
        </w:rPr>
        <w:t>101.6mm，高度为70mm</w:t>
      </w:r>
      <w:r>
        <w:rPr>
          <w:rFonts w:hint="eastAsia" w:ascii="宋体" w:hAnsi="宋体" w:eastAsia="宋体" w:cs="宋体"/>
          <w:sz w:val="22"/>
          <w:szCs w:val="22"/>
          <w:lang w:eastAsia="zh-CN"/>
        </w:rPr>
        <w:t>，对于沥青混合料三轴压缩法试件，试件直径为</w:t>
      </w:r>
      <w:r>
        <w:rPr>
          <w:rFonts w:hint="eastAsia" w:ascii="宋体" w:hAnsi="宋体" w:eastAsia="宋体" w:cs="宋体"/>
          <w:sz w:val="22"/>
          <w:szCs w:val="22"/>
          <w:lang w:val="en-US" w:eastAsia="zh-CN"/>
        </w:rPr>
        <w:t>100mm±2.0mm，高150mm±2.0mm不适用，</w:t>
      </w:r>
      <w:r>
        <w:rPr>
          <w:rFonts w:hint="eastAsia" w:ascii="宋体" w:hAnsi="宋体" w:eastAsia="宋体" w:cs="宋体"/>
          <w:sz w:val="22"/>
          <w:szCs w:val="22"/>
          <w:lang w:eastAsia="zh-CN"/>
        </w:rPr>
        <w:t>三是若沥青混料油石比过大的话，脱模器的力不足。</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1.2解决的主要问题</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lang w:eastAsia="zh-CN"/>
        </w:rPr>
        <w:t>对于沥青含量高的沥青混合料试件，特别是对于沥青含量高的沥青混合料试件，不仅可以加快脱模速度，还大大提高了脱模质量</w:t>
      </w:r>
      <w:r>
        <w:rPr>
          <w:rFonts w:hint="eastAsia" w:ascii="宋体" w:hAnsi="宋体" w:eastAsia="宋体" w:cs="宋体"/>
          <w:sz w:val="22"/>
          <w:szCs w:val="22"/>
        </w:rPr>
        <w:t>。</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1.3适用范围</w:t>
      </w:r>
    </w:p>
    <w:p>
      <w:pPr>
        <w:spacing w:line="312" w:lineRule="auto"/>
        <w:ind w:firstLine="440" w:firstLineChars="200"/>
        <w:rPr>
          <w:rFonts w:ascii="宋体" w:hAnsi="宋体" w:eastAsia="宋体" w:cs="宋体"/>
          <w:sz w:val="22"/>
          <w:szCs w:val="22"/>
        </w:rPr>
      </w:pPr>
      <w:r>
        <w:rPr>
          <w:rFonts w:hint="eastAsia" w:ascii="宋体" w:hAnsi="宋体" w:eastAsia="宋体" w:cs="宋体"/>
          <w:color w:val="000000"/>
          <w:sz w:val="22"/>
          <w:szCs w:val="22"/>
        </w:rPr>
        <w:t>可广泛应用于公路水运工程、</w:t>
      </w:r>
      <w:r>
        <w:rPr>
          <w:rFonts w:hint="eastAsia" w:ascii="宋体" w:hAnsi="宋体" w:eastAsia="宋体" w:cs="宋体"/>
          <w:color w:val="000000"/>
          <w:sz w:val="22"/>
          <w:szCs w:val="22"/>
          <w:lang w:eastAsia="zh-CN"/>
        </w:rPr>
        <w:t>水利工程、</w:t>
      </w:r>
      <w:r>
        <w:rPr>
          <w:rFonts w:hint="eastAsia" w:ascii="宋体" w:hAnsi="宋体" w:eastAsia="宋体" w:cs="宋体"/>
          <w:color w:val="000000"/>
          <w:sz w:val="22"/>
          <w:szCs w:val="22"/>
        </w:rPr>
        <w:t>市政工程等</w:t>
      </w:r>
      <w:r>
        <w:rPr>
          <w:rFonts w:hint="eastAsia" w:ascii="宋体" w:hAnsi="宋体" w:eastAsia="宋体" w:cs="宋体"/>
          <w:color w:val="000000"/>
          <w:sz w:val="22"/>
          <w:szCs w:val="22"/>
          <w:lang w:eastAsia="zh-CN"/>
        </w:rPr>
        <w:t>沥青混合料试件</w:t>
      </w:r>
      <w:r>
        <w:rPr>
          <w:rFonts w:hint="eastAsia" w:ascii="宋体" w:hAnsi="宋体" w:eastAsia="宋体" w:cs="宋体"/>
          <w:color w:val="000000"/>
          <w:sz w:val="22"/>
          <w:szCs w:val="22"/>
          <w:lang w:val="en-US" w:eastAsia="zh-CN"/>
        </w:rPr>
        <w:t>直径101.6mm的圆柱形沥青混合料的脱模</w:t>
      </w:r>
      <w:r>
        <w:rPr>
          <w:rFonts w:hint="eastAsia" w:ascii="宋体" w:hAnsi="宋体" w:eastAsia="宋体" w:cs="宋体"/>
          <w:color w:val="000000"/>
          <w:sz w:val="22"/>
          <w:szCs w:val="22"/>
        </w:rPr>
        <w:t>。</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1.4技术特点</w:t>
      </w:r>
    </w:p>
    <w:p>
      <w:pPr>
        <w:spacing w:line="312" w:lineRule="auto"/>
        <w:ind w:firstLine="440" w:firstLineChars="200"/>
        <w:rPr>
          <w:rFonts w:hint="eastAsia" w:ascii="宋体" w:hAnsi="宋体" w:eastAsia="宋体" w:cs="宋体"/>
          <w:color w:val="000000"/>
          <w:sz w:val="22"/>
          <w:szCs w:val="22"/>
        </w:rPr>
      </w:pPr>
      <w:r>
        <w:rPr>
          <w:rFonts w:hint="eastAsia" w:ascii="宋体" w:hAnsi="宋体" w:eastAsia="宋体" w:cs="宋体"/>
          <w:color w:val="000000"/>
          <w:sz w:val="22"/>
          <w:szCs w:val="22"/>
          <w:lang w:val="en-US" w:eastAsia="zh-CN"/>
        </w:rPr>
        <w:t>本专利克服了现有脱模器行程过短、套筒高度过低及沥青混合料沥青含量大时不易脱模的弊端，提供了一种专门致力于沥青混合料脱模的装置，借助万能材料试验机，不仅提高了沥青混合料的脱模质量，也加快了沥青混合料脱模的速度。</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2.技术内容</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2.1工作原理</w:t>
      </w:r>
    </w:p>
    <w:p>
      <w:pPr>
        <w:spacing w:line="312" w:lineRule="auto"/>
        <w:ind w:firstLine="440" w:firstLineChars="200"/>
        <w:outlineLvl w:val="1"/>
        <w:rPr>
          <w:rFonts w:ascii="宋体" w:hAnsi="宋体" w:eastAsia="宋体" w:cs="宋体"/>
          <w:sz w:val="22"/>
          <w:szCs w:val="22"/>
        </w:rPr>
      </w:pPr>
      <w:r>
        <w:rPr>
          <w:rFonts w:hint="eastAsia" w:ascii="宋体" w:hAnsi="宋体" w:eastAsia="宋体" w:cs="宋体"/>
          <w:sz w:val="22"/>
          <w:szCs w:val="22"/>
        </w:rPr>
        <w:t>支撑套筒1放置在基座4</w:t>
      </w:r>
      <w:r>
        <w:rPr>
          <w:rFonts w:hint="eastAsia" w:ascii="宋体" w:hAnsi="宋体" w:eastAsia="宋体" w:cs="宋体"/>
          <w:sz w:val="22"/>
          <w:szCs w:val="22"/>
          <w:lang w:eastAsia="zh-CN"/>
        </w:rPr>
        <w:t>或托盘上</w:t>
      </w:r>
      <w:r>
        <w:rPr>
          <w:rFonts w:hint="eastAsia" w:ascii="宋体" w:hAnsi="宋体" w:eastAsia="宋体" w:cs="宋体"/>
          <w:sz w:val="22"/>
          <w:szCs w:val="22"/>
        </w:rPr>
        <w:t>，将需要脱模的试模筒3放置在</w:t>
      </w:r>
      <w:r>
        <w:rPr>
          <w:rFonts w:hint="eastAsia" w:ascii="宋体" w:hAnsi="宋体" w:eastAsia="宋体" w:cs="宋体"/>
          <w:sz w:val="22"/>
          <w:szCs w:val="22"/>
          <w:lang w:eastAsia="zh-CN"/>
        </w:rPr>
        <w:t>脱模</w:t>
      </w:r>
      <w:r>
        <w:rPr>
          <w:rFonts w:hint="eastAsia" w:ascii="宋体" w:hAnsi="宋体" w:eastAsia="宋体" w:cs="宋体"/>
          <w:sz w:val="22"/>
          <w:szCs w:val="22"/>
        </w:rPr>
        <w:t>套筒1上，再将</w:t>
      </w:r>
      <w:r>
        <w:rPr>
          <w:rFonts w:hint="eastAsia" w:ascii="宋体" w:hAnsi="宋体" w:eastAsia="宋体" w:cs="宋体"/>
          <w:sz w:val="22"/>
          <w:szCs w:val="22"/>
          <w:lang w:eastAsia="zh-CN"/>
        </w:rPr>
        <w:t>传力柱体</w:t>
      </w:r>
      <w:r>
        <w:rPr>
          <w:rFonts w:hint="eastAsia" w:ascii="宋体" w:hAnsi="宋体" w:eastAsia="宋体" w:cs="宋体"/>
          <w:sz w:val="22"/>
          <w:szCs w:val="22"/>
        </w:rPr>
        <w:t>2放置在试模筒3上，</w:t>
      </w:r>
      <w:r>
        <w:rPr>
          <w:rFonts w:hint="eastAsia" w:ascii="宋体" w:hAnsi="宋体" w:eastAsia="宋体" w:cs="宋体"/>
          <w:sz w:val="22"/>
          <w:szCs w:val="22"/>
          <w:lang w:eastAsia="zh-CN"/>
        </w:rPr>
        <w:t>传力柱体</w:t>
      </w:r>
      <w:r>
        <w:rPr>
          <w:rFonts w:hint="eastAsia" w:ascii="宋体" w:hAnsi="宋体" w:eastAsia="宋体" w:cs="宋体"/>
          <w:sz w:val="22"/>
          <w:szCs w:val="22"/>
        </w:rPr>
        <w:t>2的下垫板203直径</w:t>
      </w:r>
      <w:r>
        <w:rPr>
          <w:rFonts w:hint="eastAsia" w:ascii="宋体" w:hAnsi="宋体" w:eastAsia="宋体" w:cs="宋体"/>
          <w:sz w:val="22"/>
          <w:szCs w:val="22"/>
          <w:lang w:eastAsia="zh-CN"/>
        </w:rPr>
        <w:t>约等于</w:t>
      </w:r>
      <w:r>
        <w:rPr>
          <w:rFonts w:hint="eastAsia" w:ascii="宋体" w:hAnsi="宋体" w:eastAsia="宋体" w:cs="宋体"/>
          <w:sz w:val="22"/>
          <w:szCs w:val="22"/>
        </w:rPr>
        <w:t>试模筒3的内径，将下垫板203对齐需要脱模的</w:t>
      </w:r>
      <w:r>
        <w:rPr>
          <w:rFonts w:hint="eastAsia" w:ascii="宋体" w:hAnsi="宋体" w:eastAsia="宋体" w:cs="宋体"/>
          <w:sz w:val="22"/>
          <w:szCs w:val="22"/>
          <w:lang w:eastAsia="zh-CN"/>
        </w:rPr>
        <w:t>沥青混合料</w:t>
      </w:r>
      <w:r>
        <w:rPr>
          <w:rFonts w:hint="eastAsia" w:ascii="宋体" w:hAnsi="宋体" w:eastAsia="宋体" w:cs="宋体"/>
          <w:sz w:val="22"/>
          <w:szCs w:val="22"/>
        </w:rPr>
        <w:t>，借助万能材料试验机对压模筒2的上垫板202进行施压；柱体201的直径小于下垫板203的直径，这样可以减小压模筒2与试模筒3之间的摩擦力，整个脱模过程比较快，脱模也比较彻底。（附图1~</w:t>
      </w:r>
      <w:r>
        <w:rPr>
          <w:rFonts w:hint="eastAsia" w:ascii="宋体" w:hAnsi="宋体" w:eastAsia="宋体" w:cs="宋体"/>
          <w:sz w:val="22"/>
          <w:szCs w:val="22"/>
          <w:lang w:val="en-US" w:eastAsia="zh-CN"/>
        </w:rPr>
        <w:t>5</w:t>
      </w:r>
      <w:r>
        <w:rPr>
          <w:rFonts w:hint="eastAsia" w:ascii="宋体" w:hAnsi="宋体" w:eastAsia="宋体" w:cs="宋体"/>
          <w:sz w:val="22"/>
          <w:szCs w:val="22"/>
        </w:rPr>
        <w:t>）</w:t>
      </w:r>
    </w:p>
    <w:p>
      <w:pPr>
        <w:spacing w:line="312" w:lineRule="auto"/>
        <w:jc w:val="center"/>
        <w:rPr>
          <w:rFonts w:hint="eastAsia"/>
        </w:rPr>
      </w:pPr>
      <w:r>
        <w:drawing>
          <wp:inline distT="0" distB="0" distL="114300" distR="114300">
            <wp:extent cx="3025140" cy="4257675"/>
            <wp:effectExtent l="0" t="0" r="381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3025140" cy="4257675"/>
                    </a:xfrm>
                    <a:prstGeom prst="rect">
                      <a:avLst/>
                    </a:prstGeom>
                    <a:noFill/>
                    <a:ln w="9525">
                      <a:noFill/>
                    </a:ln>
                  </pic:spPr>
                </pic:pic>
              </a:graphicData>
            </a:graphic>
          </wp:inline>
        </w:drawing>
      </w:r>
    </w:p>
    <w:p>
      <w:pPr>
        <w:spacing w:line="312" w:lineRule="auto"/>
        <w:jc w:val="center"/>
        <w:rPr>
          <w:rFonts w:hint="eastAsia" w:ascii="宋体" w:hAnsi="宋体" w:eastAsia="宋体" w:cs="宋体"/>
          <w:b/>
          <w:bCs/>
          <w:color w:val="000000"/>
          <w:sz w:val="22"/>
          <w:szCs w:val="22"/>
        </w:rPr>
      </w:pPr>
      <w:r>
        <w:rPr>
          <w:rFonts w:hint="eastAsia" w:ascii="宋体" w:hAnsi="宋体" w:eastAsia="宋体" w:cs="宋体"/>
          <w:b/>
          <w:bCs/>
          <w:color w:val="000000"/>
          <w:sz w:val="22"/>
          <w:szCs w:val="22"/>
        </w:rPr>
        <w:t>图1</w:t>
      </w:r>
    </w:p>
    <w:p>
      <w:pPr>
        <w:spacing w:line="312" w:lineRule="auto"/>
        <w:jc w:val="center"/>
        <w:rPr>
          <w:rFonts w:ascii="宋体" w:hAnsi="宋体" w:eastAsia="宋体" w:cs="宋体"/>
          <w:sz w:val="22"/>
          <w:szCs w:val="22"/>
        </w:rPr>
      </w:pPr>
      <w:r>
        <w:rPr>
          <w:rFonts w:hint="eastAsia" w:ascii="宋体" w:hAnsi="宋体" w:eastAsia="宋体" w:cs="宋体"/>
          <w:sz w:val="22"/>
          <w:szCs w:val="22"/>
        </w:rPr>
        <w:t>1、</w:t>
      </w:r>
      <w:r>
        <w:rPr>
          <w:rFonts w:hint="eastAsia" w:ascii="宋体" w:hAnsi="宋体" w:eastAsia="宋体" w:cs="宋体"/>
          <w:sz w:val="22"/>
          <w:szCs w:val="22"/>
          <w:lang w:eastAsia="zh-CN"/>
        </w:rPr>
        <w:t>脱模筒</w:t>
      </w:r>
      <w:r>
        <w:rPr>
          <w:rFonts w:hint="eastAsia" w:ascii="宋体" w:hAnsi="宋体" w:eastAsia="宋体" w:cs="宋体"/>
          <w:sz w:val="22"/>
          <w:szCs w:val="22"/>
        </w:rPr>
        <w:t xml:space="preserve">  2、</w:t>
      </w:r>
      <w:r>
        <w:rPr>
          <w:rFonts w:hint="eastAsia" w:ascii="宋体" w:hAnsi="宋体" w:eastAsia="宋体" w:cs="宋体"/>
          <w:sz w:val="22"/>
          <w:szCs w:val="22"/>
          <w:lang w:eastAsia="zh-CN"/>
        </w:rPr>
        <w:t>传力柱</w:t>
      </w:r>
      <w:r>
        <w:rPr>
          <w:rFonts w:hint="eastAsia" w:ascii="宋体" w:hAnsi="宋体" w:eastAsia="宋体" w:cs="宋体"/>
          <w:sz w:val="22"/>
          <w:szCs w:val="22"/>
        </w:rPr>
        <w:t xml:space="preserve">   3、</w:t>
      </w:r>
      <w:r>
        <w:rPr>
          <w:rFonts w:hint="eastAsia" w:ascii="宋体" w:hAnsi="宋体" w:eastAsia="宋体" w:cs="宋体"/>
          <w:sz w:val="22"/>
          <w:szCs w:val="22"/>
          <w:lang w:eastAsia="zh-CN"/>
        </w:rPr>
        <w:t>沥青混合料成型试模筒</w:t>
      </w:r>
      <w:r>
        <w:rPr>
          <w:rFonts w:hint="eastAsia" w:ascii="宋体" w:hAnsi="宋体" w:eastAsia="宋体" w:cs="宋体"/>
          <w:sz w:val="22"/>
          <w:szCs w:val="22"/>
        </w:rPr>
        <w:t xml:space="preserve">   4、</w:t>
      </w:r>
      <w:r>
        <w:rPr>
          <w:rFonts w:hint="eastAsia" w:ascii="宋体" w:hAnsi="宋体" w:eastAsia="宋体" w:cs="宋体"/>
          <w:sz w:val="22"/>
          <w:szCs w:val="22"/>
          <w:lang w:eastAsia="zh-CN"/>
        </w:rPr>
        <w:t>底座</w:t>
      </w:r>
    </w:p>
    <w:p>
      <w:pPr>
        <w:spacing w:line="312" w:lineRule="auto"/>
        <w:jc w:val="both"/>
      </w:pPr>
      <w:r>
        <w:drawing>
          <wp:anchor distT="0" distB="0" distL="114300" distR="114300" simplePos="0" relativeHeight="251658240" behindDoc="0" locked="0" layoutInCell="1" allowOverlap="1">
            <wp:simplePos x="0" y="0"/>
            <wp:positionH relativeFrom="column">
              <wp:posOffset>3498850</wp:posOffset>
            </wp:positionH>
            <wp:positionV relativeFrom="paragraph">
              <wp:posOffset>132080</wp:posOffset>
            </wp:positionV>
            <wp:extent cx="2647315" cy="2675890"/>
            <wp:effectExtent l="0" t="0" r="635" b="10160"/>
            <wp:wrapSquare wrapText="bothSides"/>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7"/>
                    <a:stretch>
                      <a:fillRect/>
                    </a:stretch>
                  </pic:blipFill>
                  <pic:spPr>
                    <a:xfrm>
                      <a:off x="0" y="0"/>
                      <a:ext cx="2647315" cy="2675890"/>
                    </a:xfrm>
                    <a:prstGeom prst="rect">
                      <a:avLst/>
                    </a:prstGeom>
                    <a:noFill/>
                    <a:ln w="9525">
                      <a:noFill/>
                    </a:ln>
                  </pic:spPr>
                </pic:pic>
              </a:graphicData>
            </a:graphic>
          </wp:anchor>
        </w:drawing>
      </w:r>
      <w:r>
        <w:drawing>
          <wp:inline distT="0" distB="0" distL="114300" distR="114300">
            <wp:extent cx="2407920" cy="2879725"/>
            <wp:effectExtent l="0" t="0" r="11430" b="158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2407920" cy="2879725"/>
                    </a:xfrm>
                    <a:prstGeom prst="rect">
                      <a:avLst/>
                    </a:prstGeom>
                    <a:noFill/>
                    <a:ln w="9525">
                      <a:noFill/>
                    </a:ln>
                  </pic:spPr>
                </pic:pic>
              </a:graphicData>
            </a:graphic>
          </wp:inline>
        </w:drawing>
      </w:r>
    </w:p>
    <w:p>
      <w:pPr>
        <w:spacing w:line="312" w:lineRule="auto"/>
        <w:jc w:val="left"/>
        <w:rPr>
          <w:rFonts w:hint="eastAsia" w:eastAsia="仿宋_GB2312"/>
          <w:lang w:val="en-US" w:eastAsia="zh-CN"/>
        </w:rPr>
      </w:pPr>
      <w:r>
        <w:rPr>
          <w:rFonts w:hint="eastAsia"/>
          <w:lang w:val="en-US" w:eastAsia="zh-CN"/>
        </w:rPr>
        <w:t xml:space="preserve">         </w:t>
      </w:r>
      <w:r>
        <w:rPr>
          <w:rFonts w:hint="eastAsia" w:ascii="宋体" w:hAnsi="宋体" w:eastAsia="宋体" w:cs="宋体"/>
          <w:b/>
          <w:bCs/>
          <w:color w:val="000000"/>
          <w:sz w:val="22"/>
          <w:szCs w:val="22"/>
          <w:lang w:val="en-US" w:eastAsia="zh-CN"/>
        </w:rPr>
        <w:t>图2</w:t>
      </w:r>
      <w:r>
        <w:rPr>
          <w:rFonts w:hint="eastAsia" w:ascii="宋体" w:hAnsi="宋体" w:eastAsia="宋体" w:cs="宋体"/>
          <w:sz w:val="24"/>
          <w:lang w:val="en-US" w:eastAsia="zh-CN"/>
        </w:rPr>
        <w:t xml:space="preserve">                                            </w:t>
      </w:r>
      <w:r>
        <w:rPr>
          <w:rFonts w:hint="eastAsia" w:ascii="宋体" w:hAnsi="宋体" w:eastAsia="宋体" w:cs="宋体"/>
          <w:b/>
          <w:bCs/>
          <w:color w:val="000000"/>
          <w:sz w:val="22"/>
          <w:szCs w:val="22"/>
          <w:lang w:val="en-US" w:eastAsia="zh-CN"/>
        </w:rPr>
        <w:t xml:space="preserve"> 图3</w:t>
      </w:r>
    </w:p>
    <w:p>
      <w:pPr>
        <w:spacing w:line="312" w:lineRule="auto"/>
        <w:jc w:val="distribute"/>
      </w:pPr>
      <w:r>
        <w:drawing>
          <wp:inline distT="0" distB="0" distL="114300" distR="114300">
            <wp:extent cx="2281555" cy="3599815"/>
            <wp:effectExtent l="0" t="0" r="4445" b="63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9"/>
                    <a:stretch>
                      <a:fillRect/>
                    </a:stretch>
                  </pic:blipFill>
                  <pic:spPr>
                    <a:xfrm>
                      <a:off x="0" y="0"/>
                      <a:ext cx="2281555" cy="3599815"/>
                    </a:xfrm>
                    <a:prstGeom prst="rect">
                      <a:avLst/>
                    </a:prstGeom>
                    <a:noFill/>
                    <a:ln w="9525">
                      <a:noFill/>
                    </a:ln>
                  </pic:spPr>
                </pic:pic>
              </a:graphicData>
            </a:graphic>
          </wp:inline>
        </w:drawing>
      </w:r>
      <w:r>
        <w:drawing>
          <wp:inline distT="0" distB="0" distL="114300" distR="114300">
            <wp:extent cx="2292350" cy="2789555"/>
            <wp:effectExtent l="0" t="0" r="12700" b="1079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0"/>
                    <a:stretch>
                      <a:fillRect/>
                    </a:stretch>
                  </pic:blipFill>
                  <pic:spPr>
                    <a:xfrm>
                      <a:off x="0" y="0"/>
                      <a:ext cx="2292350" cy="2789555"/>
                    </a:xfrm>
                    <a:prstGeom prst="rect">
                      <a:avLst/>
                    </a:prstGeom>
                    <a:noFill/>
                    <a:ln w="9525">
                      <a:noFill/>
                    </a:ln>
                  </pic:spPr>
                </pic:pic>
              </a:graphicData>
            </a:graphic>
          </wp:inline>
        </w:drawing>
      </w:r>
    </w:p>
    <w:p>
      <w:pPr>
        <w:spacing w:line="312" w:lineRule="auto"/>
        <w:jc w:val="left"/>
        <w:rPr>
          <w:rFonts w:hint="eastAsia" w:eastAsia="仿宋_GB2312"/>
          <w:lang w:val="en-US" w:eastAsia="zh-CN"/>
        </w:rPr>
      </w:pPr>
      <w:r>
        <w:rPr>
          <w:rFonts w:hint="eastAsia"/>
          <w:lang w:val="en-US" w:eastAsia="zh-CN"/>
        </w:rPr>
        <w:t xml:space="preserve">     </w:t>
      </w:r>
      <w:r>
        <w:rPr>
          <w:rFonts w:hint="eastAsia" w:ascii="宋体" w:hAnsi="宋体" w:eastAsia="宋体" w:cs="宋体"/>
          <w:b/>
          <w:bCs/>
          <w:color w:val="000000"/>
          <w:sz w:val="22"/>
          <w:szCs w:val="22"/>
          <w:lang w:val="en-US" w:eastAsia="zh-CN"/>
        </w:rPr>
        <w:t>图4</w:t>
      </w:r>
      <w:r>
        <w:rPr>
          <w:rFonts w:hint="eastAsia" w:asciiTheme="minorEastAsia" w:hAnsiTheme="minorEastAsia" w:eastAsiaTheme="minorEastAsia" w:cstheme="minorEastAsia"/>
          <w:sz w:val="24"/>
          <w:szCs w:val="24"/>
          <w:lang w:val="en-US" w:eastAsia="zh-CN"/>
        </w:rPr>
        <w:t xml:space="preserve">                                             </w:t>
      </w:r>
      <w:r>
        <w:rPr>
          <w:rFonts w:hint="eastAsia" w:ascii="宋体" w:hAnsi="宋体" w:eastAsia="宋体" w:cs="宋体"/>
          <w:b/>
          <w:bCs/>
          <w:color w:val="000000"/>
          <w:sz w:val="22"/>
          <w:szCs w:val="22"/>
          <w:lang w:val="en-US" w:eastAsia="zh-CN"/>
        </w:rPr>
        <w:t>图5  沥青混合料试模</w:t>
      </w:r>
    </w:p>
    <w:p>
      <w:pPr>
        <w:spacing w:line="312" w:lineRule="auto"/>
        <w:jc w:val="center"/>
      </w:pPr>
    </w:p>
    <w:p>
      <w:pPr>
        <w:adjustRightInd w:val="0"/>
        <w:snapToGrid w:val="0"/>
        <w:spacing w:line="360"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rPr>
        <w:t>本发明的技术方案</w:t>
      </w:r>
      <w:r>
        <w:rPr>
          <w:rFonts w:hint="eastAsia" w:ascii="宋体" w:hAnsi="宋体" w:eastAsia="宋体" w:cs="宋体"/>
          <w:color w:val="000000"/>
          <w:sz w:val="22"/>
          <w:szCs w:val="22"/>
          <w:lang w:eastAsia="zh-CN"/>
        </w:rPr>
        <w:t>是由套筒、圆柱体盖帽两部分组成，套筒上部有凸起，凸起部分的外径为</w:t>
      </w:r>
      <w:r>
        <w:rPr>
          <w:rFonts w:hint="eastAsia" w:ascii="宋体" w:hAnsi="宋体" w:eastAsia="宋体" w:cs="宋体"/>
          <w:color w:val="000000"/>
          <w:sz w:val="22"/>
          <w:szCs w:val="22"/>
          <w:lang w:val="en-US" w:eastAsia="zh-CN"/>
        </w:rPr>
        <w:t>125mm，壁厚5mm，高度20mm，在凸起内部距凸起顶部10mm处为套筒上沿，套筒高度为190mm，套筒上沿壁厚为5mm，内径与沥青混合料成型试模套筒的一致，均为104.8mm。圆柱体盖帽由上下两块垫板和一圆柱体组成，上部垫板直径为170mm，壁厚5mm，底部垫板直径为100mm，壁厚为5mm，圆柱体直径为90mm，高为190mm。</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2.2操作要点</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lang w:eastAsia="zh-CN"/>
        </w:rPr>
        <w:t>进行沥青混合料脱模时，</w:t>
      </w:r>
      <w:r>
        <w:rPr>
          <w:rFonts w:hint="eastAsia" w:ascii="宋体" w:hAnsi="宋体" w:eastAsia="宋体" w:cs="宋体"/>
          <w:color w:val="000000"/>
          <w:sz w:val="22"/>
          <w:szCs w:val="22"/>
        </w:rPr>
        <w:t>（1）</w:t>
      </w:r>
      <w:r>
        <w:rPr>
          <w:rFonts w:hint="eastAsia" w:ascii="宋体" w:hAnsi="宋体" w:eastAsia="宋体" w:cs="宋体"/>
          <w:color w:val="000000"/>
          <w:sz w:val="22"/>
          <w:szCs w:val="22"/>
          <w:lang w:eastAsia="zh-CN"/>
        </w:rPr>
        <w:t>将成型好的试模放在套筒上</w:t>
      </w:r>
      <w:r>
        <w:rPr>
          <w:rFonts w:hint="eastAsia" w:ascii="宋体" w:hAnsi="宋体" w:eastAsia="宋体" w:cs="宋体"/>
          <w:color w:val="000000"/>
          <w:sz w:val="22"/>
          <w:szCs w:val="22"/>
        </w:rPr>
        <w:t>；（2）</w:t>
      </w:r>
      <w:r>
        <w:rPr>
          <w:rFonts w:hint="eastAsia" w:ascii="宋体" w:hAnsi="宋体" w:eastAsia="宋体" w:cs="宋体"/>
          <w:color w:val="000000"/>
          <w:sz w:val="22"/>
          <w:szCs w:val="22"/>
          <w:lang w:eastAsia="zh-CN"/>
        </w:rPr>
        <w:t>将盖帽的圆柱体底部垫板放在成型好的试模上</w:t>
      </w:r>
      <w:r>
        <w:rPr>
          <w:rFonts w:hint="eastAsia" w:ascii="宋体" w:hAnsi="宋体" w:eastAsia="宋体" w:cs="宋体"/>
          <w:color w:val="000000"/>
          <w:sz w:val="22"/>
          <w:szCs w:val="22"/>
        </w:rPr>
        <w:t>；（3）</w:t>
      </w:r>
      <w:r>
        <w:rPr>
          <w:rFonts w:hint="eastAsia" w:ascii="宋体" w:hAnsi="宋体" w:eastAsia="宋体" w:cs="宋体"/>
          <w:color w:val="000000"/>
          <w:sz w:val="22"/>
          <w:szCs w:val="22"/>
          <w:lang w:eastAsia="zh-CN"/>
        </w:rPr>
        <w:t>将组合好的如图</w:t>
      </w:r>
      <w:r>
        <w:rPr>
          <w:rFonts w:hint="eastAsia" w:ascii="宋体" w:hAnsi="宋体" w:eastAsia="宋体" w:cs="宋体"/>
          <w:color w:val="000000"/>
          <w:sz w:val="22"/>
          <w:szCs w:val="22"/>
          <w:lang w:val="en-US" w:eastAsia="zh-CN"/>
        </w:rPr>
        <w:t>1</w:t>
      </w:r>
      <w:r>
        <w:rPr>
          <w:rFonts w:hint="eastAsia" w:ascii="宋体" w:hAnsi="宋体" w:eastAsia="宋体" w:cs="宋体"/>
          <w:color w:val="000000"/>
          <w:sz w:val="22"/>
          <w:szCs w:val="22"/>
          <w:lang w:eastAsia="zh-CN"/>
        </w:rPr>
        <w:t>放在万能材料机下面</w:t>
      </w:r>
      <w:r>
        <w:rPr>
          <w:rFonts w:hint="eastAsia" w:ascii="宋体" w:hAnsi="宋体" w:eastAsia="宋体" w:cs="宋体"/>
          <w:color w:val="000000"/>
          <w:sz w:val="22"/>
          <w:szCs w:val="22"/>
        </w:rPr>
        <w:t>；</w:t>
      </w:r>
      <w:r>
        <w:rPr>
          <w:rFonts w:hint="eastAsia" w:ascii="宋体" w:hAnsi="宋体" w:eastAsia="宋体" w:cs="宋体"/>
          <w:color w:val="000000"/>
          <w:sz w:val="22"/>
          <w:szCs w:val="22"/>
          <w:lang w:eastAsia="zh-CN"/>
        </w:rPr>
        <w:t>（4）启动万能材料试验机，手动控制万能材料试验机进行下压，即可将沥青混合料试件在试模中脱出</w:t>
      </w:r>
      <w:r>
        <w:rPr>
          <w:rFonts w:hint="eastAsia" w:ascii="宋体" w:hAnsi="宋体" w:eastAsia="宋体" w:cs="宋体"/>
          <w:color w:val="000000"/>
          <w:sz w:val="22"/>
          <w:szCs w:val="22"/>
          <w:lang w:val="en-US" w:eastAsia="zh-CN"/>
        </w:rPr>
        <w:t>。</w:t>
      </w:r>
    </w:p>
    <w:p>
      <w:pPr>
        <w:spacing w:line="312" w:lineRule="auto"/>
        <w:jc w:val="left"/>
        <w:rPr>
          <w:rFonts w:ascii="宋体" w:hAnsi="宋体" w:eastAsia="宋体" w:cs="宋体"/>
          <w:b/>
          <w:bCs/>
          <w:color w:val="000000"/>
          <w:sz w:val="22"/>
          <w:szCs w:val="22"/>
        </w:rPr>
      </w:pPr>
      <w:r>
        <w:rPr>
          <w:rFonts w:hint="eastAsia"/>
        </w:rPr>
        <w:t xml:space="preserve"> </w:t>
      </w:r>
      <w:r>
        <w:drawing>
          <wp:inline distT="0" distB="0" distL="114300" distR="114300">
            <wp:extent cx="2836545" cy="3768725"/>
            <wp:effectExtent l="0" t="0" r="1905" b="317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1"/>
                    <a:stretch>
                      <a:fillRect/>
                    </a:stretch>
                  </pic:blipFill>
                  <pic:spPr>
                    <a:xfrm>
                      <a:off x="0" y="0"/>
                      <a:ext cx="2836545" cy="3768725"/>
                    </a:xfrm>
                    <a:prstGeom prst="rect">
                      <a:avLst/>
                    </a:prstGeom>
                    <a:noFill/>
                    <a:ln w="9525">
                      <a:noFill/>
                    </a:ln>
                  </pic:spPr>
                </pic:pic>
              </a:graphicData>
            </a:graphic>
          </wp:inline>
        </w:drawing>
      </w:r>
      <w:r>
        <w:drawing>
          <wp:inline distT="0" distB="0" distL="114300" distR="114300">
            <wp:extent cx="2717800" cy="3723640"/>
            <wp:effectExtent l="0" t="0" r="6350" b="1016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2"/>
                    <a:stretch>
                      <a:fillRect/>
                    </a:stretch>
                  </pic:blipFill>
                  <pic:spPr>
                    <a:xfrm>
                      <a:off x="0" y="0"/>
                      <a:ext cx="2717800" cy="3723640"/>
                    </a:xfrm>
                    <a:prstGeom prst="rect">
                      <a:avLst/>
                    </a:prstGeom>
                    <a:noFill/>
                    <a:ln w="9525">
                      <a:noFill/>
                    </a:ln>
                  </pic:spPr>
                </pic:pic>
              </a:graphicData>
            </a:graphic>
          </wp:inline>
        </w:drawing>
      </w:r>
    </w:p>
    <w:p>
      <w:pPr>
        <w:spacing w:line="312" w:lineRule="auto"/>
        <w:jc w:val="center"/>
        <w:rPr>
          <w:rFonts w:ascii="宋体" w:hAnsi="宋体" w:eastAsia="宋体" w:cs="宋体"/>
          <w:b/>
          <w:bCs/>
          <w:color w:val="000000"/>
          <w:sz w:val="22"/>
          <w:szCs w:val="22"/>
        </w:rPr>
      </w:pPr>
      <w:r>
        <w:rPr>
          <w:rFonts w:hint="eastAsia" w:ascii="宋体" w:hAnsi="宋体" w:eastAsia="宋体" w:cs="宋体"/>
          <w:b/>
          <w:bCs/>
          <w:color w:val="000000"/>
          <w:sz w:val="22"/>
          <w:szCs w:val="22"/>
        </w:rPr>
        <w:t>图</w:t>
      </w:r>
      <w:r>
        <w:rPr>
          <w:rFonts w:hint="eastAsia" w:ascii="宋体" w:hAnsi="宋体" w:eastAsia="宋体" w:cs="宋体"/>
          <w:b/>
          <w:bCs/>
          <w:color w:val="000000"/>
          <w:sz w:val="22"/>
          <w:szCs w:val="22"/>
          <w:lang w:val="en-US" w:eastAsia="zh-CN"/>
        </w:rPr>
        <w:t>6</w:t>
      </w:r>
      <w:r>
        <w:rPr>
          <w:rFonts w:hint="eastAsia" w:ascii="宋体" w:hAnsi="宋体" w:eastAsia="宋体" w:cs="宋体"/>
          <w:b/>
          <w:bCs/>
          <w:color w:val="000000"/>
          <w:sz w:val="22"/>
          <w:szCs w:val="22"/>
        </w:rPr>
        <w:t xml:space="preserve"> 现场使用图</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3.应用效果</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lang w:eastAsia="zh-CN"/>
        </w:rPr>
        <w:t>以前用脱模器进行脱模，脱一次模从开始到结束需要</w:t>
      </w:r>
      <w:r>
        <w:rPr>
          <w:rFonts w:hint="eastAsia" w:ascii="宋体" w:hAnsi="宋体" w:eastAsia="宋体" w:cs="宋体"/>
          <w:color w:val="000000"/>
          <w:sz w:val="22"/>
          <w:szCs w:val="22"/>
          <w:lang w:val="en-US" w:eastAsia="zh-CN"/>
        </w:rPr>
        <w:t>5分钟左右，</w:t>
      </w:r>
      <w:r>
        <w:rPr>
          <w:rFonts w:hint="eastAsia" w:ascii="宋体" w:hAnsi="宋体" w:eastAsia="宋体" w:cs="宋体"/>
          <w:color w:val="000000"/>
          <w:sz w:val="22"/>
          <w:szCs w:val="22"/>
          <w:lang w:eastAsia="zh-CN"/>
        </w:rPr>
        <w:t>由于脱模器行程过短，特别对于沥青含量高且试件高度过大的沥青混合料，不仅对脱模仪损伤大，而且沥青混料试件的脱模质量也不佳</w:t>
      </w:r>
      <w:r>
        <w:rPr>
          <w:rFonts w:hint="eastAsia" w:ascii="宋体" w:hAnsi="宋体" w:eastAsia="宋体" w:cs="宋体"/>
          <w:color w:val="000000"/>
          <w:sz w:val="22"/>
          <w:szCs w:val="22"/>
        </w:rPr>
        <w:t>。</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lang w:eastAsia="zh-CN"/>
        </w:rPr>
        <w:t>使用此装置后，与万能材料试验机配合使用，脱一次模从开始到结束在</w:t>
      </w:r>
      <w:r>
        <w:rPr>
          <w:rFonts w:hint="eastAsia" w:ascii="宋体" w:hAnsi="宋体" w:eastAsia="宋体" w:cs="宋体"/>
          <w:color w:val="000000"/>
          <w:sz w:val="22"/>
          <w:szCs w:val="22"/>
          <w:lang w:val="en-US" w:eastAsia="zh-CN"/>
        </w:rPr>
        <w:t>2分钟之内，不仅提高了沥青混合料的脱模速度，也大大保证了沥青混合料的脱模质量，特别对于沥青含量高的试件，更加适用</w:t>
      </w:r>
      <w:r>
        <w:rPr>
          <w:rFonts w:hint="eastAsia" w:ascii="宋体" w:hAnsi="宋体" w:eastAsia="宋体" w:cs="宋体"/>
          <w:color w:val="000000"/>
          <w:sz w:val="22"/>
          <w:szCs w:val="22"/>
        </w:rPr>
        <w:t>。</w:t>
      </w:r>
      <w:r>
        <w:rPr>
          <w:rFonts w:hint="eastAsia" w:ascii="宋体" w:hAnsi="宋体" w:eastAsia="宋体" w:cs="宋体"/>
          <w:color w:val="000000"/>
          <w:sz w:val="22"/>
          <w:szCs w:val="22"/>
          <w:lang w:eastAsia="zh-CN"/>
        </w:rPr>
        <w:t>将沥青混合料的成型的圆柱形试模与脱模筒配套使用，可适用于所有直径</w:t>
      </w:r>
      <w:r>
        <w:rPr>
          <w:rFonts w:hint="eastAsia" w:ascii="宋体" w:hAnsi="宋体" w:eastAsia="宋体" w:cs="宋体"/>
          <w:color w:val="000000"/>
          <w:sz w:val="22"/>
          <w:szCs w:val="22"/>
          <w:lang w:val="en-US" w:eastAsia="zh-CN"/>
        </w:rPr>
        <w:t>101.6mm的</w:t>
      </w:r>
      <w:r>
        <w:rPr>
          <w:rFonts w:hint="eastAsia" w:ascii="宋体" w:hAnsi="宋体" w:eastAsia="宋体" w:cs="宋体"/>
          <w:color w:val="000000"/>
          <w:sz w:val="22"/>
          <w:szCs w:val="22"/>
          <w:lang w:eastAsia="zh-CN"/>
        </w:rPr>
        <w:t>圆柱形沥青</w:t>
      </w:r>
      <w:bookmarkStart w:id="0" w:name="_GoBack"/>
      <w:bookmarkEnd w:id="0"/>
      <w:r>
        <w:rPr>
          <w:rFonts w:hint="eastAsia" w:ascii="宋体" w:hAnsi="宋体" w:eastAsia="宋体" w:cs="宋体"/>
          <w:color w:val="000000"/>
          <w:sz w:val="22"/>
          <w:szCs w:val="22"/>
          <w:lang w:eastAsia="zh-CN"/>
        </w:rPr>
        <w:t>混合料的脱模。</w:t>
      </w:r>
    </w:p>
    <w:p>
      <w:pPr>
        <w:spacing w:line="312" w:lineRule="auto"/>
        <w:jc w:val="center"/>
      </w:pPr>
      <w:r>
        <w:rPr>
          <w:rFonts w:hint="eastAsia"/>
        </w:rPr>
        <w:t xml:space="preserve"> </w:t>
      </w:r>
      <w:r>
        <w:drawing>
          <wp:inline distT="0" distB="0" distL="114300" distR="114300">
            <wp:extent cx="4102100" cy="1979295"/>
            <wp:effectExtent l="0" t="0" r="12700" b="190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3"/>
                    <a:stretch>
                      <a:fillRect/>
                    </a:stretch>
                  </pic:blipFill>
                  <pic:spPr>
                    <a:xfrm>
                      <a:off x="0" y="0"/>
                      <a:ext cx="4102100" cy="1979295"/>
                    </a:xfrm>
                    <a:prstGeom prst="rect">
                      <a:avLst/>
                    </a:prstGeom>
                    <a:noFill/>
                    <a:ln w="9525">
                      <a:noFill/>
                    </a:ln>
                  </pic:spPr>
                </pic:pic>
              </a:graphicData>
            </a:graphic>
          </wp:inline>
        </w:drawing>
      </w:r>
    </w:p>
    <w:p>
      <w:pPr>
        <w:spacing w:line="312" w:lineRule="auto"/>
        <w:jc w:val="center"/>
        <w:rPr>
          <w:rFonts w:ascii="宋体" w:hAnsi="宋体" w:eastAsia="宋体" w:cs="宋体"/>
          <w:b/>
          <w:bCs/>
          <w:color w:val="000000"/>
          <w:sz w:val="22"/>
          <w:szCs w:val="22"/>
        </w:rPr>
      </w:pPr>
      <w:r>
        <w:rPr>
          <w:rFonts w:hint="eastAsia" w:ascii="宋体" w:hAnsi="宋体" w:eastAsia="宋体" w:cs="宋体"/>
          <w:b/>
          <w:bCs/>
          <w:color w:val="000000"/>
          <w:sz w:val="22"/>
          <w:szCs w:val="22"/>
        </w:rPr>
        <w:t>图</w:t>
      </w:r>
      <w:r>
        <w:rPr>
          <w:rFonts w:hint="eastAsia" w:ascii="宋体" w:hAnsi="宋体" w:eastAsia="宋体" w:cs="宋体"/>
          <w:b/>
          <w:bCs/>
          <w:color w:val="000000"/>
          <w:sz w:val="22"/>
          <w:szCs w:val="22"/>
          <w:lang w:val="en-US" w:eastAsia="zh-CN"/>
        </w:rPr>
        <w:t>7</w:t>
      </w:r>
      <w:r>
        <w:rPr>
          <w:rFonts w:hint="eastAsia" w:ascii="宋体" w:hAnsi="宋体" w:eastAsia="宋体" w:cs="宋体"/>
          <w:b/>
          <w:bCs/>
          <w:color w:val="000000"/>
          <w:sz w:val="22"/>
          <w:szCs w:val="22"/>
        </w:rPr>
        <w:t xml:space="preserve"> </w:t>
      </w:r>
      <w:r>
        <w:rPr>
          <w:rFonts w:hint="eastAsia" w:ascii="宋体" w:hAnsi="宋体" w:eastAsia="宋体" w:cs="宋体"/>
          <w:b/>
          <w:bCs/>
          <w:color w:val="000000"/>
          <w:sz w:val="22"/>
          <w:szCs w:val="22"/>
          <w:lang w:eastAsia="zh-CN"/>
        </w:rPr>
        <w:t>沥青混合料辅助脱模</w:t>
      </w:r>
      <w:r>
        <w:rPr>
          <w:rFonts w:hint="eastAsia" w:ascii="宋体" w:hAnsi="宋体" w:eastAsia="宋体" w:cs="宋体"/>
          <w:b/>
          <w:bCs/>
          <w:color w:val="000000"/>
          <w:sz w:val="22"/>
          <w:szCs w:val="22"/>
        </w:rPr>
        <w:t>装置照片</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4.推广应用前景</w:t>
      </w:r>
    </w:p>
    <w:p>
      <w:pPr>
        <w:spacing w:line="312" w:lineRule="auto"/>
        <w:ind w:firstLine="480" w:firstLineChars="200"/>
        <w:rPr>
          <w:rFonts w:ascii="宋体" w:hAnsi="宋体" w:eastAsia="宋体" w:cs="宋体"/>
          <w:color w:val="000000"/>
          <w:sz w:val="22"/>
          <w:szCs w:val="22"/>
        </w:rPr>
      </w:pPr>
      <w:r>
        <w:rPr>
          <w:rFonts w:hint="eastAsia" w:ascii="华文中宋" w:hAnsi="华文中宋" w:eastAsia="华文中宋" w:cs="华文中宋"/>
          <w:bCs/>
          <w:sz w:val="24"/>
        </w:rPr>
        <w:t xml:space="preserve"> </w:t>
      </w:r>
      <w:r>
        <w:rPr>
          <w:rFonts w:hint="eastAsia" w:ascii="宋体" w:hAnsi="宋体" w:eastAsia="宋体" w:cs="宋体"/>
          <w:color w:val="000000"/>
          <w:sz w:val="22"/>
          <w:szCs w:val="22"/>
        </w:rPr>
        <w:t>本装置主要特点是保证试件脱模质量的基础上，极大得加快了脱模效率。在公路工程、水利水电工程中，广泛涉及沥青混合料的应用，沥青混合料试模成型质量好坏直接影响到相应单元工程实物质量的评价。应用此装置，可以更好得保证沥青混合料脱模质量，加快脱模速度。将成型好的试件与此脱模</w:t>
      </w:r>
      <w:r>
        <w:rPr>
          <w:rFonts w:hint="eastAsia" w:ascii="宋体" w:hAnsi="宋体" w:eastAsia="宋体" w:cs="宋体"/>
          <w:color w:val="000000"/>
          <w:sz w:val="22"/>
          <w:szCs w:val="22"/>
          <w:lang w:eastAsia="zh-CN"/>
        </w:rPr>
        <w:t>辅助</w:t>
      </w:r>
      <w:r>
        <w:rPr>
          <w:rFonts w:hint="eastAsia" w:ascii="宋体" w:hAnsi="宋体" w:eastAsia="宋体" w:cs="宋体"/>
          <w:color w:val="000000"/>
          <w:sz w:val="22"/>
          <w:szCs w:val="22"/>
        </w:rPr>
        <w:t>装置联合起来使用，用压力机稍微进行施压，试件就可以很好的在成型筒中脱出，保证了试件的完好率。脱模效率的提高可以减少废弃沥青混合料试件的数量，减少了人力物力财力的成本，从而更大限度得减少了对环境的影响</w:t>
      </w:r>
      <w:r>
        <w:rPr>
          <w:rFonts w:hint="eastAsia" w:ascii="宋体" w:hAnsi="宋体" w:eastAsia="宋体" w:cs="宋体"/>
          <w:color w:val="000000"/>
          <w:sz w:val="22"/>
          <w:szCs w:val="22"/>
          <w:lang w:eastAsia="zh-CN"/>
        </w:rPr>
        <w:t>，有利于环境的保护。</w:t>
      </w:r>
    </w:p>
    <w:sectPr>
      <w:headerReference r:id="rId3" w:type="default"/>
      <w:footerReference r:id="rId4" w:type="default"/>
      <w:pgSz w:w="11906" w:h="16838"/>
      <w:pgMar w:top="1440" w:right="1080" w:bottom="1440" w:left="1080" w:header="1020" w:footer="1134"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方正小标宋简体">
    <w:altName w:val="微软雅黑"/>
    <w:panose1 w:val="03000509000000000000"/>
    <w:charset w:val="86"/>
    <w:family w:val="auto"/>
    <w:pitch w:val="default"/>
    <w:sig w:usb0="00000000" w:usb1="00000000" w:usb2="00000000" w:usb3="00000000" w:csb0="00040000" w:csb1="00000000"/>
  </w:font>
  <w:font w:name="华文中宋">
    <w:altName w:val="宋体"/>
    <w:panose1 w:val="00000000000000000000"/>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s0lY7tAAAAAFAQAADwAAAAAA&#10;AAABACAAAAAiAAAAZHJzL2Rvd25yZXYueG1sUEsBAhQAFAAAAAgAh07iQKugqBcbAgAAIwQAAA4A&#10;AAAAAAAAAQAgAAAAHwEAAGRycy9lMm9Eb2MueG1sUEsFBgAAAAAGAAYAWQEAAKwFAAAAAA==&#10;">
              <v:fill on="f" focussize="0,0"/>
              <v:stroke on="f" weight="0.5pt"/>
              <v:imagedata o:title=""/>
              <o:lock v:ext="edit" aspectratio="f"/>
              <v:textbox inset="0mm,0mm,0mm,0mm" style="mso-fit-shape-to-text:t;">
                <w:txbxContent>
                  <w:p>
                    <w:pPr>
                      <w:pStyle w:val="3"/>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4" w:space="1"/>
      </w:pBdr>
      <w:jc w:val="center"/>
      <w:rPr>
        <w:rFonts w:ascii="黑体" w:hAnsi="黑体" w:eastAsia="黑体" w:cs="黑体"/>
      </w:rPr>
    </w:pPr>
    <w:r>
      <w:rPr>
        <w:sz w:val="18"/>
      </w:rPr>
      <w:pict>
        <v:shape id="PowerPlusWaterMarkObject47017" o:spid="_x0000_s1026"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rPr>
      <w:t>202</w:t>
    </w:r>
    <w:r>
      <w:rPr>
        <w:rFonts w:hint="eastAsia" w:ascii="黑体" w:hAnsi="黑体" w:eastAsia="黑体" w:cs="黑体"/>
        <w:lang w:val="en-US" w:eastAsia="zh-CN"/>
      </w:rPr>
      <w:t>1</w:t>
    </w:r>
    <w:r>
      <w:rPr>
        <w:rFonts w:hint="eastAsia" w:ascii="黑体" w:hAnsi="黑体" w:eastAsia="黑体" w:cs="黑体"/>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4DE38B5"/>
    <w:rsid w:val="000847F3"/>
    <w:rsid w:val="0015012C"/>
    <w:rsid w:val="001537E7"/>
    <w:rsid w:val="00155F9B"/>
    <w:rsid w:val="001B27F7"/>
    <w:rsid w:val="00201929"/>
    <w:rsid w:val="00206296"/>
    <w:rsid w:val="002F167F"/>
    <w:rsid w:val="0036777E"/>
    <w:rsid w:val="004F57D1"/>
    <w:rsid w:val="00647B9B"/>
    <w:rsid w:val="006A3861"/>
    <w:rsid w:val="006C1812"/>
    <w:rsid w:val="006C759E"/>
    <w:rsid w:val="007057F7"/>
    <w:rsid w:val="007233D3"/>
    <w:rsid w:val="007F2002"/>
    <w:rsid w:val="00824914"/>
    <w:rsid w:val="00846B1E"/>
    <w:rsid w:val="0090616A"/>
    <w:rsid w:val="009A4C1A"/>
    <w:rsid w:val="009A790A"/>
    <w:rsid w:val="00A94061"/>
    <w:rsid w:val="00AB0D38"/>
    <w:rsid w:val="00AB2997"/>
    <w:rsid w:val="00B52E77"/>
    <w:rsid w:val="00BB7F88"/>
    <w:rsid w:val="00BC1675"/>
    <w:rsid w:val="00CC2B55"/>
    <w:rsid w:val="00D53862"/>
    <w:rsid w:val="00DA690A"/>
    <w:rsid w:val="00DD1A7D"/>
    <w:rsid w:val="00DE7DEA"/>
    <w:rsid w:val="00EA7C4B"/>
    <w:rsid w:val="00FC3C5E"/>
    <w:rsid w:val="05E66775"/>
    <w:rsid w:val="06826331"/>
    <w:rsid w:val="07AA1F88"/>
    <w:rsid w:val="0A96278F"/>
    <w:rsid w:val="0D49663A"/>
    <w:rsid w:val="0E9B0EE5"/>
    <w:rsid w:val="0F3166BA"/>
    <w:rsid w:val="0FC70384"/>
    <w:rsid w:val="10D91F69"/>
    <w:rsid w:val="12D009BC"/>
    <w:rsid w:val="144D6C44"/>
    <w:rsid w:val="164474E4"/>
    <w:rsid w:val="16804FD6"/>
    <w:rsid w:val="19184FEE"/>
    <w:rsid w:val="1A5C1809"/>
    <w:rsid w:val="1A9116DB"/>
    <w:rsid w:val="1B8B65A8"/>
    <w:rsid w:val="1BA050D2"/>
    <w:rsid w:val="1C5E7C04"/>
    <w:rsid w:val="1D4F301A"/>
    <w:rsid w:val="1F01392E"/>
    <w:rsid w:val="1FEF3503"/>
    <w:rsid w:val="21FC1C07"/>
    <w:rsid w:val="23DA0054"/>
    <w:rsid w:val="240466DC"/>
    <w:rsid w:val="245E0E03"/>
    <w:rsid w:val="252A4CBA"/>
    <w:rsid w:val="26E617A1"/>
    <w:rsid w:val="2796294B"/>
    <w:rsid w:val="27DF20EF"/>
    <w:rsid w:val="281B4728"/>
    <w:rsid w:val="29004B2D"/>
    <w:rsid w:val="2A1942FF"/>
    <w:rsid w:val="2A28776A"/>
    <w:rsid w:val="2A4F3444"/>
    <w:rsid w:val="2BAB03CF"/>
    <w:rsid w:val="2C160718"/>
    <w:rsid w:val="2CC72414"/>
    <w:rsid w:val="2DB74531"/>
    <w:rsid w:val="2DE252E9"/>
    <w:rsid w:val="2E4F0C34"/>
    <w:rsid w:val="2FC127BE"/>
    <w:rsid w:val="30D20F4E"/>
    <w:rsid w:val="33D2657B"/>
    <w:rsid w:val="3509357D"/>
    <w:rsid w:val="35431E90"/>
    <w:rsid w:val="35496C49"/>
    <w:rsid w:val="37152903"/>
    <w:rsid w:val="374C7490"/>
    <w:rsid w:val="37DD407E"/>
    <w:rsid w:val="38DE08C5"/>
    <w:rsid w:val="39282A8A"/>
    <w:rsid w:val="39673D33"/>
    <w:rsid w:val="3AC77F71"/>
    <w:rsid w:val="3BCC0E66"/>
    <w:rsid w:val="3BD34656"/>
    <w:rsid w:val="3D217ABE"/>
    <w:rsid w:val="3E18718B"/>
    <w:rsid w:val="3F92266E"/>
    <w:rsid w:val="401716E8"/>
    <w:rsid w:val="41780276"/>
    <w:rsid w:val="42F85996"/>
    <w:rsid w:val="43511AA8"/>
    <w:rsid w:val="43D34118"/>
    <w:rsid w:val="448D0F53"/>
    <w:rsid w:val="44DE38B5"/>
    <w:rsid w:val="46765F73"/>
    <w:rsid w:val="46F9221A"/>
    <w:rsid w:val="47730927"/>
    <w:rsid w:val="48EE4383"/>
    <w:rsid w:val="4A41440D"/>
    <w:rsid w:val="4DE1130A"/>
    <w:rsid w:val="4E1D7A69"/>
    <w:rsid w:val="4EA61DB4"/>
    <w:rsid w:val="4FCD2534"/>
    <w:rsid w:val="5709702F"/>
    <w:rsid w:val="5814240D"/>
    <w:rsid w:val="59EC4EE4"/>
    <w:rsid w:val="5D074DE8"/>
    <w:rsid w:val="5FB9551D"/>
    <w:rsid w:val="61B92F94"/>
    <w:rsid w:val="63D15422"/>
    <w:rsid w:val="644D659F"/>
    <w:rsid w:val="684725D9"/>
    <w:rsid w:val="692340AF"/>
    <w:rsid w:val="69A85122"/>
    <w:rsid w:val="6B4677C2"/>
    <w:rsid w:val="6B9A27C3"/>
    <w:rsid w:val="6E08300B"/>
    <w:rsid w:val="703C7978"/>
    <w:rsid w:val="71663954"/>
    <w:rsid w:val="71DB5478"/>
    <w:rsid w:val="71E013C2"/>
    <w:rsid w:val="73B53D31"/>
    <w:rsid w:val="73BF4748"/>
    <w:rsid w:val="747F3B60"/>
    <w:rsid w:val="758374EC"/>
    <w:rsid w:val="7719666B"/>
    <w:rsid w:val="79254F87"/>
    <w:rsid w:val="796F0760"/>
    <w:rsid w:val="7A155EA4"/>
    <w:rsid w:val="7A8A280C"/>
    <w:rsid w:val="7CC4758A"/>
    <w:rsid w:val="7DAB5041"/>
    <w:rsid w:val="7E0043A1"/>
    <w:rsid w:val="7E45302F"/>
    <w:rsid w:val="7E7612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5">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7"/>
    <w:qFormat/>
    <w:uiPriority w:val="0"/>
    <w:rPr>
      <w:sz w:val="18"/>
      <w:szCs w:val="18"/>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7">
    <w:name w:val="批注框文本 Char"/>
    <w:basedOn w:val="5"/>
    <w:link w:val="2"/>
    <w:qFormat/>
    <w:uiPriority w:val="0"/>
    <w:rPr>
      <w:rFonts w:ascii="Times New Roman" w:hAnsi="Times New Roman" w:eastAsia="仿宋_GB2312"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227</Words>
  <Characters>1299</Characters>
  <Lines>10</Lines>
  <Paragraphs>3</Paragraphs>
  <ScaleCrop>false</ScaleCrop>
  <LinksUpToDate>false</LinksUpToDate>
  <CharactersWithSpaces>1523</CharactersWithSpaces>
  <Application>WPS Office_10.1.0.7224_F1E327BC-269C-435d-A152-05C5408002CA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辉火</cp:lastModifiedBy>
  <dcterms:modified xsi:type="dcterms:W3CDTF">2022-09-02T07:48:58Z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y fmtid="{D5CDD505-2E9C-101B-9397-08002B2CF9AE}" pid="3" name="ICV">
    <vt:lpwstr>977B52CDCA6F4FF7A9EE28395DC7926F</vt:lpwstr>
  </property>
</Properties>
</file>