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288" w:lineRule="auto"/>
        <w:rPr>
          <w:rFonts w:ascii="宋体" w:hAnsi="宋体" w:eastAsia="宋体" w:cs="宋体"/>
          <w:b/>
          <w:bCs/>
          <w:sz w:val="21"/>
          <w:szCs w:val="21"/>
        </w:rPr>
      </w:pPr>
    </w:p>
    <w:p>
      <w:pPr>
        <w:snapToGrid w:val="0"/>
        <w:spacing w:line="288" w:lineRule="auto"/>
        <w:rPr>
          <w:rFonts w:ascii="宋体" w:hAnsi="宋体" w:eastAsia="宋体" w:cs="宋体"/>
          <w:sz w:val="21"/>
          <w:szCs w:val="21"/>
        </w:rPr>
      </w:pPr>
      <w:r>
        <w:rPr>
          <w:rFonts w:hint="eastAsia" w:ascii="宋体" w:hAnsi="宋体" w:eastAsia="宋体" w:cs="宋体"/>
          <w:b/>
          <w:bCs/>
          <w:sz w:val="21"/>
          <w:szCs w:val="21"/>
        </w:rPr>
        <w:t>[类  型]</w:t>
      </w:r>
      <w:r>
        <w:rPr>
          <w:rFonts w:hint="eastAsia" w:ascii="宋体" w:hAnsi="宋体" w:eastAsia="宋体" w:cs="宋体"/>
          <w:sz w:val="21"/>
          <w:szCs w:val="21"/>
        </w:rPr>
        <w:t>机具设备微改造</w:t>
      </w:r>
    </w:p>
    <w:p>
      <w:pPr>
        <w:snapToGrid w:val="0"/>
        <w:spacing w:line="288" w:lineRule="auto"/>
        <w:rPr>
          <w:rFonts w:ascii="宋体" w:hAnsi="宋体" w:eastAsia="宋体" w:cs="宋体"/>
          <w:sz w:val="21"/>
          <w:szCs w:val="21"/>
        </w:rPr>
      </w:pPr>
      <w:r>
        <w:rPr>
          <w:rFonts w:hint="eastAsia" w:ascii="宋体" w:hAnsi="宋体" w:eastAsia="宋体" w:cs="宋体"/>
          <w:b/>
          <w:bCs/>
          <w:sz w:val="21"/>
          <w:szCs w:val="21"/>
        </w:rPr>
        <w:t>[关键词]</w:t>
      </w:r>
      <w:r>
        <w:rPr>
          <w:rFonts w:hint="eastAsia" w:ascii="宋体" w:hAnsi="宋体" w:eastAsia="宋体" w:cs="宋体"/>
          <w:sz w:val="21"/>
          <w:szCs w:val="21"/>
        </w:rPr>
        <w:t>桥梁高墩，垂直度，自动控制</w:t>
      </w:r>
    </w:p>
    <w:p>
      <w:pPr>
        <w:snapToGrid w:val="0"/>
        <w:rPr>
          <w:rFonts w:ascii="方正小标宋简体" w:hAnsi="方正小标宋简体" w:eastAsia="方正小标宋简体" w:cs="方正小标宋简体"/>
          <w:sz w:val="21"/>
          <w:szCs w:val="21"/>
        </w:rPr>
      </w:pPr>
    </w:p>
    <w:p>
      <w:pPr>
        <w:spacing w:before="156" w:beforeLines="50"/>
        <w:jc w:val="center"/>
        <w:rPr>
          <w:rFonts w:hint="eastAsia" w:ascii="方正小标宋简体" w:hAnsi="方正小标宋简体" w:eastAsia="方正小标宋简体" w:cs="方正小标宋简体"/>
          <w:szCs w:val="32"/>
        </w:rPr>
      </w:pPr>
      <w:r>
        <w:rPr>
          <w:rFonts w:hint="eastAsia" w:ascii="方正小标宋简体" w:hAnsi="方正小标宋简体" w:eastAsia="方正小标宋简体" w:cs="方正小标宋简体"/>
          <w:szCs w:val="32"/>
        </w:rPr>
        <w:t>桥梁高墩垂直度自动控制结构</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default" w:ascii="方正小标宋简体" w:hAnsi="方正小标宋简体" w:eastAsia="方正小标宋简体" w:cs="方正小标宋简体"/>
          <w:szCs w:val="32"/>
          <w:lang w:val="en-US"/>
        </w:rPr>
      </w:pPr>
      <w:bookmarkStart w:id="9" w:name="_GoBack"/>
      <w:r>
        <w:rPr>
          <w:rFonts w:hint="eastAsia"/>
          <w:sz w:val="24"/>
          <w:lang w:val="en-US" w:eastAsia="zh-CN"/>
        </w:rPr>
        <w:t>JWC2021-070</w:t>
      </w:r>
    </w:p>
    <w:bookmarkEnd w:id="9"/>
    <w:p>
      <w:pPr>
        <w:spacing w:before="156" w:beforeLines="50"/>
        <w:jc w:val="center"/>
        <w:rPr>
          <w:rFonts w:ascii="黑体" w:hAnsi="黑体" w:eastAsia="黑体" w:cs="黑体"/>
          <w:sz w:val="24"/>
        </w:rPr>
      </w:pPr>
      <w:r>
        <w:rPr>
          <w:rFonts w:hint="eastAsia" w:ascii="黑体" w:hAnsi="黑体" w:eastAsia="黑体" w:cs="黑体"/>
          <w:sz w:val="24"/>
        </w:rPr>
        <w:t>中交一公局集团第四工程有限公司</w:t>
      </w:r>
    </w:p>
    <w:p>
      <w:pPr>
        <w:spacing w:before="156" w:beforeLines="50"/>
        <w:jc w:val="center"/>
        <w:rPr>
          <w:sz w:val="24"/>
        </w:rPr>
      </w:pPr>
      <w:r>
        <w:rPr>
          <w:rFonts w:hint="eastAsia"/>
          <w:sz w:val="24"/>
        </w:rPr>
        <w:t>张久林、李桂芹、郑凡、彭万德、覃绍许</w:t>
      </w:r>
    </w:p>
    <w:p>
      <w:pPr>
        <w:tabs>
          <w:tab w:val="center" w:pos="4873"/>
          <w:tab w:val="left" w:pos="7501"/>
        </w:tabs>
        <w:spacing w:before="156" w:beforeLines="50" w:after="156" w:afterLines="50" w:line="360" w:lineRule="auto"/>
        <w:jc w:val="left"/>
        <w:rPr>
          <w:rFonts w:ascii="黑体" w:hAnsi="黑体" w:eastAsia="黑体" w:cs="黑体"/>
          <w:b/>
          <w:bCs/>
          <w:sz w:val="24"/>
        </w:rPr>
      </w:pPr>
      <w:r>
        <w:rPr>
          <w:rFonts w:ascii="黑体" w:hAnsi="黑体" w:eastAsia="黑体" w:cs="黑体"/>
          <w:b/>
          <w:bCs/>
          <w:sz w:val="24"/>
        </w:rPr>
        <w:tab/>
      </w:r>
      <w:r>
        <w:rPr>
          <w:rFonts w:hint="eastAsia" w:ascii="黑体" w:hAnsi="黑体" w:eastAsia="黑体" w:cs="黑体"/>
          <w:b/>
          <w:bCs/>
          <w:sz w:val="24"/>
        </w:rPr>
        <w:t>1.成果简介</w:t>
      </w:r>
      <w:r>
        <w:rPr>
          <w:rFonts w:ascii="黑体" w:hAnsi="黑体" w:eastAsia="黑体" w:cs="黑体"/>
          <w:b/>
          <w:bCs/>
          <w:sz w:val="24"/>
        </w:rPr>
        <w:tab/>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1.1技术背景</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传统的高墩施工方法主要有翻模、爬模、滑模、支架法及最新的辊模施工等，随着高速公路和高速铁路逐渐向山区、深山区的不断推进，特别是西藏、贵州、四川、广西、云南、重庆等地区施工条件越来越艰巨，地质条件越来越复杂，而这些地区又必须要打通陆上经济发展通道，这样就给复杂地区桥梁施工带来多方面的影响，其中重要方面之一就是对高墩施工造成的影响。高墩垂直度控制一直是测量人员控制高墩一件繁琐的工作，传统高墩垂直度控制一般采用吊线锥法、全站仪观测法、传统垂准仪法。</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1.2解决的主要问题</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（1）现在业主要求施工进度越来越快，基本每个工作面都是多个高墩同时在施工，需要的测量人员和仪器设备较多，需要降低测量人员及设备的投入。</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（2）测量人员工作量大和数据处理慢的问题，有时交代调整数据时容易造成偏差，减少中间过程错误和偏差。</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（3）缩短测量观测时间、提高效率、减少成本投入。</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（4）可以全天2</w:t>
      </w:r>
      <w:r>
        <w:rPr>
          <w:rFonts w:ascii="宋体" w:hAnsi="宋体" w:eastAsia="宋体" w:cs="宋体"/>
          <w:sz w:val="22"/>
          <w:szCs w:val="22"/>
        </w:rPr>
        <w:t>4</w:t>
      </w:r>
      <w:r>
        <w:rPr>
          <w:rFonts w:hint="eastAsia" w:ascii="宋体" w:hAnsi="宋体" w:eastAsia="宋体" w:cs="宋体"/>
          <w:sz w:val="22"/>
          <w:szCs w:val="22"/>
        </w:rPr>
        <w:t>小时自主观测，施工人员随时打开遥控观测无需其它专业测量人员和设备。</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1.3适用范围</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山区桥梁高墩施工、竖直建筑物施工及装配式建筑物施工控制。</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1.4技术特点</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（1）使用方法进行桥梁高墩垂直度施工，通过激光垂准仪向上激光线与墩身平行原理，在顶端模板激光靶可以清晰直观观测模板偏位情况。</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（2）因为有防护措施，在整个高墩施工工程中无需多次架设仪器，减少仪器操作误差，可以每天24小时进行观测。</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（3）减少测量人员劳动强度和人员数量，同时保证了施工进度和墩身垂直度质量。</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（4）使用激光垂准仪的新方法可以有效解决传统激光垂准仪施工测量控制时的缺点，并且很容易实现，达到快速、无伤害、省工、环保等优点。</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w:t>
      </w:r>
      <w:r>
        <w:rPr>
          <w:rFonts w:ascii="宋体" w:hAnsi="宋体" w:eastAsia="宋体" w:cs="宋体"/>
          <w:sz w:val="22"/>
          <w:szCs w:val="22"/>
        </w:rPr>
        <w:t>5</w:t>
      </w:r>
      <w:r>
        <w:rPr>
          <w:rFonts w:hint="eastAsia" w:ascii="宋体" w:hAnsi="宋体" w:eastAsia="宋体" w:cs="宋体"/>
          <w:sz w:val="22"/>
          <w:szCs w:val="22"/>
        </w:rPr>
        <w:t>）使用该方法可以减少测量用工90%以上，节省测量观测时间8</w:t>
      </w:r>
      <w:r>
        <w:rPr>
          <w:rFonts w:ascii="宋体" w:hAnsi="宋体" w:eastAsia="宋体" w:cs="宋体"/>
          <w:sz w:val="22"/>
          <w:szCs w:val="22"/>
        </w:rPr>
        <w:t>0%</w:t>
      </w:r>
      <w:r>
        <w:rPr>
          <w:rFonts w:hint="eastAsia" w:ascii="宋体" w:hAnsi="宋体" w:eastAsia="宋体" w:cs="宋体"/>
          <w:sz w:val="22"/>
          <w:szCs w:val="22"/>
        </w:rPr>
        <w:t>，模板调整时间减少了6</w:t>
      </w:r>
      <w:r>
        <w:rPr>
          <w:rFonts w:ascii="宋体" w:hAnsi="宋体" w:eastAsia="宋体" w:cs="宋体"/>
          <w:sz w:val="22"/>
          <w:szCs w:val="22"/>
        </w:rPr>
        <w:t>0%</w:t>
      </w:r>
      <w:r>
        <w:rPr>
          <w:rFonts w:hint="eastAsia" w:ascii="宋体" w:hAnsi="宋体" w:eastAsia="宋体" w:cs="宋体"/>
          <w:sz w:val="22"/>
          <w:szCs w:val="22"/>
        </w:rPr>
        <w:t>，模板调整人员也相应较少，经济效益越明显。</w:t>
      </w:r>
    </w:p>
    <w:p>
      <w:pPr>
        <w:spacing w:line="312" w:lineRule="auto"/>
        <w:jc w:val="center"/>
      </w:pPr>
      <w:r>
        <w:rPr>
          <w:rFonts w:ascii="Calibri" w:hAnsi="Calibri" w:eastAsia="宋体"/>
          <w:sz w:val="21"/>
          <w:szCs w:val="22"/>
        </w:rPr>
        <w:drawing>
          <wp:inline distT="0" distB="0" distL="0" distR="0">
            <wp:extent cx="4566285" cy="6755130"/>
            <wp:effectExtent l="0" t="0" r="5715"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4566285" cy="6755130"/>
                    </a:xfrm>
                    <a:prstGeom prst="rect">
                      <a:avLst/>
                    </a:prstGeom>
                    <a:noFill/>
                  </pic:spPr>
                </pic:pic>
              </a:graphicData>
            </a:graphic>
          </wp:inline>
        </w:drawing>
      </w:r>
    </w:p>
    <w:p>
      <w:pPr>
        <w:spacing w:line="312" w:lineRule="auto"/>
        <w:jc w:val="center"/>
        <w:rPr>
          <w:rFonts w:ascii="宋体" w:hAnsi="宋体" w:eastAsia="宋体" w:cs="宋体"/>
          <w:sz w:val="22"/>
          <w:szCs w:val="22"/>
        </w:rPr>
      </w:pPr>
      <w:r>
        <w:rPr>
          <w:rFonts w:hint="eastAsia" w:ascii="宋体" w:hAnsi="宋体" w:eastAsia="宋体" w:cs="宋体"/>
          <w:b/>
          <w:bCs/>
          <w:sz w:val="22"/>
          <w:szCs w:val="22"/>
        </w:rPr>
        <w:t>图1 高墩垂直线控制示意图</w:t>
      </w:r>
    </w:p>
    <w:p>
      <w:pPr>
        <w:spacing w:before="156" w:beforeLines="50" w:after="156" w:afterLines="50" w:line="360" w:lineRule="auto"/>
        <w:jc w:val="center"/>
        <w:rPr>
          <w:rFonts w:ascii="黑体" w:hAnsi="黑体" w:eastAsia="黑体" w:cs="黑体"/>
          <w:b/>
          <w:bCs/>
          <w:sz w:val="24"/>
        </w:rPr>
      </w:pPr>
      <w:r>
        <w:rPr>
          <w:rFonts w:hint="eastAsia" w:ascii="黑体" w:hAnsi="黑体" w:eastAsia="黑体" w:cs="黑体"/>
          <w:b/>
          <w:bCs/>
          <w:sz w:val="24"/>
        </w:rPr>
        <w:t>2.技术内容</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2.1技术原理</w:t>
      </w:r>
    </w:p>
    <w:p>
      <w:pPr>
        <w:spacing w:line="312" w:lineRule="auto"/>
        <w:ind w:firstLine="440" w:firstLineChars="200"/>
        <w:jc w:val="left"/>
        <w:rPr>
          <w:rFonts w:ascii="宋体" w:hAnsi="宋体" w:eastAsia="宋体" w:cs="宋体"/>
          <w:sz w:val="22"/>
          <w:szCs w:val="22"/>
        </w:rPr>
      </w:pPr>
      <w:r>
        <w:rPr>
          <w:rFonts w:hint="eastAsia" w:ascii="宋体" w:hAnsi="宋体" w:eastAsia="宋体" w:cs="宋体"/>
          <w:sz w:val="22"/>
          <w:szCs w:val="22"/>
        </w:rPr>
        <w:t>本方法提供了一种桥梁高墩施工垂直度自动控制方法，使用本自动装置，在墩身每一节混凝土浇筑过程中可以随时监测垂直度偏差，利用模板矫正系统可以随时对偏位模板进行矫正，精确模板位置，保证墩柱垂直度。本装置是利用激光垂准仪固定在矩形高墩对角，利用垂准仪本身垂直激光线对模板进行垂直控制，首先在模板制作时在模板对角上下两层预留激光观察孔，在模板上层安装激光靶，在浇筑承台时根据激光靶在墩身相对位置预埋垂准仪固定基座，并且根据需要预埋基座至承台外电力管线及垂准仪防护预埋件，完成承台并浇筑第一节墩柱砼时安装垂准仪，并安装电力线提供长期供电。本装置特点是仪器一次架设后不需后期人工操作，减少人为多次操作造成仪器偏差，仪器开关机等功能采用改装后无线遥控控制，也减少人工碰触仪器产生的偏差。本装置最大的特点是施工工人在墩顶随时可以无线遥控垂准仪开关机，方便工人任意时间段监测模板偏位情况。</w:t>
      </w:r>
    </w:p>
    <w:p>
      <w:pPr>
        <w:spacing w:line="312" w:lineRule="auto"/>
        <w:ind w:firstLine="640" w:firstLineChars="200"/>
        <w:jc w:val="center"/>
      </w:pPr>
      <w:r>
        <w:drawing>
          <wp:inline distT="0" distB="0" distL="0" distR="0">
            <wp:extent cx="4580890" cy="20383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4580890" cy="2038350"/>
                    </a:xfrm>
                    <a:prstGeom prst="rect">
                      <a:avLst/>
                    </a:prstGeom>
                    <a:noFill/>
                  </pic:spPr>
                </pic:pic>
              </a:graphicData>
            </a:graphic>
          </wp:inline>
        </w:drawing>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图2垂准仪控制高墩结构示意图</w:t>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说明：1垂准仪安装基座  2现浇砼墩身  3垂准仪激光垂线</w:t>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4高墩支架模板  5垂准仪激光靶安装位置</w:t>
      </w:r>
    </w:p>
    <w:p>
      <w:pPr>
        <w:spacing w:line="312" w:lineRule="auto"/>
        <w:jc w:val="center"/>
        <w:rPr>
          <w:rFonts w:ascii="宋体" w:hAnsi="宋体" w:eastAsia="宋体" w:cs="宋体"/>
          <w:b/>
          <w:bCs/>
          <w:sz w:val="22"/>
          <w:szCs w:val="22"/>
        </w:rPr>
      </w:pPr>
      <w:r>
        <w:rPr>
          <w:rFonts w:ascii="宋体" w:hAnsi="宋体" w:eastAsia="宋体" w:cs="宋体"/>
          <w:b/>
          <w:bCs/>
          <w:sz w:val="22"/>
          <w:szCs w:val="22"/>
        </w:rPr>
        <w:drawing>
          <wp:inline distT="0" distB="0" distL="0" distR="0">
            <wp:extent cx="4266565" cy="1895475"/>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266565" cy="1895475"/>
                    </a:xfrm>
                    <a:prstGeom prst="rect">
                      <a:avLst/>
                    </a:prstGeom>
                    <a:noFill/>
                  </pic:spPr>
                </pic:pic>
              </a:graphicData>
            </a:graphic>
          </wp:inline>
        </w:drawing>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图</w:t>
      </w:r>
      <w:r>
        <w:rPr>
          <w:rFonts w:ascii="宋体" w:hAnsi="宋体" w:eastAsia="宋体" w:cs="宋体"/>
          <w:b/>
          <w:bCs/>
          <w:sz w:val="22"/>
          <w:szCs w:val="22"/>
        </w:rPr>
        <w:t>3</w:t>
      </w:r>
      <w:r>
        <w:rPr>
          <w:rFonts w:hint="eastAsia" w:ascii="宋体" w:hAnsi="宋体" w:eastAsia="宋体" w:cs="宋体"/>
          <w:b/>
          <w:bCs/>
          <w:sz w:val="22"/>
          <w:szCs w:val="22"/>
        </w:rPr>
        <w:t xml:space="preserve">   高墩底部垂准仪安装平面图 </w:t>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说明：1垂准仪安装基座  2现浇砼墩身</w:t>
      </w:r>
    </w:p>
    <w:p>
      <w:pPr>
        <w:spacing w:line="312" w:lineRule="auto"/>
        <w:jc w:val="center"/>
        <w:rPr>
          <w:rFonts w:ascii="宋体" w:hAnsi="宋体" w:eastAsia="宋体" w:cs="宋体"/>
          <w:b/>
          <w:bCs/>
          <w:sz w:val="22"/>
          <w:szCs w:val="22"/>
        </w:rPr>
      </w:pPr>
      <w:r>
        <w:rPr>
          <w:rFonts w:ascii="宋体" w:hAnsi="宋体" w:eastAsia="宋体" w:cs="宋体"/>
          <w:b/>
          <w:bCs/>
          <w:sz w:val="22"/>
          <w:szCs w:val="22"/>
        </w:rPr>
        <w:drawing>
          <wp:inline distT="0" distB="0" distL="0" distR="0">
            <wp:extent cx="4314190" cy="190500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4314190" cy="1905000"/>
                    </a:xfrm>
                    <a:prstGeom prst="rect">
                      <a:avLst/>
                    </a:prstGeom>
                    <a:noFill/>
                  </pic:spPr>
                </pic:pic>
              </a:graphicData>
            </a:graphic>
          </wp:inline>
        </w:drawing>
      </w:r>
      <w:r>
        <w:rPr>
          <w:rFonts w:ascii="宋体" w:hAnsi="宋体" w:eastAsia="宋体" w:cs="宋体"/>
          <w:b/>
          <w:bCs/>
          <w:sz w:val="22"/>
          <w:szCs w:val="22"/>
        </w:rPr>
        <w:t xml:space="preserve"> </w:t>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图</w:t>
      </w:r>
      <w:r>
        <w:rPr>
          <w:rFonts w:ascii="宋体" w:hAnsi="宋体" w:eastAsia="宋体" w:cs="宋体"/>
          <w:b/>
          <w:bCs/>
          <w:sz w:val="22"/>
          <w:szCs w:val="22"/>
        </w:rPr>
        <w:t>4</w:t>
      </w:r>
      <w:r>
        <w:rPr>
          <w:rFonts w:hint="eastAsia" w:ascii="宋体" w:hAnsi="宋体" w:eastAsia="宋体" w:cs="宋体"/>
          <w:b/>
          <w:bCs/>
          <w:sz w:val="22"/>
          <w:szCs w:val="22"/>
        </w:rPr>
        <w:t xml:space="preserve">   高墩底部垂准仪安装平面图</w:t>
      </w:r>
    </w:p>
    <w:p>
      <w:pPr>
        <w:spacing w:line="312" w:lineRule="auto"/>
        <w:jc w:val="center"/>
        <w:rPr>
          <w:rFonts w:hint="eastAsia" w:ascii="宋体" w:hAnsi="宋体" w:eastAsia="宋体" w:cs="宋体"/>
          <w:b/>
          <w:bCs/>
          <w:sz w:val="22"/>
          <w:szCs w:val="22"/>
        </w:rPr>
      </w:pPr>
      <w:r>
        <w:rPr>
          <w:rFonts w:hint="eastAsia" w:ascii="宋体" w:hAnsi="宋体" w:eastAsia="宋体" w:cs="宋体"/>
          <w:b/>
          <w:bCs/>
          <w:sz w:val="22"/>
          <w:szCs w:val="22"/>
        </w:rPr>
        <w:t>说明：2现浇砼墩身 4高墩支架模板 5垂准仪激光靶安装位置6接收激光靶</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2.2结构特点</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基本是原理构造是，通过垂直平行于高墩墩身的激光线，投射到模板顶面光把的光斑，可以直观反映模板偏位情况，再根据光斑在光靶的相对位置，反向调整模板，当光斑投射到光靶中心位置时，模板就处于垂直状态，可以进行下一步施工作业。</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本装置主要由成品垂准仪装置、供电与直流电机减速遥控接收装置、遥控发射装置和顶部激光靶装置四大部分组成。</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通过由直流电机及减速系统控制的动力装置提供可调节的动力带动垂准仪调焦装置，完成垂准仪激光调焦工作。遥控装置可以控制垂准仪开关机、垂直激光调焦功能，施工工人可以在施工模板顶面就可以完成全部模板定位作，直观明了的检查墩身偏位情况。具体装置原理如下：</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（1）生产厂家成品激光垂准仪装置</w:t>
      </w:r>
      <w:r>
        <w:rPr>
          <w:rFonts w:ascii="宋体" w:hAnsi="宋体" w:eastAsia="宋体" w:cs="宋体"/>
          <w:sz w:val="22"/>
          <w:szCs w:val="22"/>
        </w:rPr>
        <w:t xml:space="preserve"> </w:t>
      </w:r>
    </w:p>
    <w:p>
      <w:pPr>
        <w:spacing w:line="312" w:lineRule="auto"/>
        <w:jc w:val="center"/>
      </w:pPr>
      <w:r>
        <w:drawing>
          <wp:inline distT="0" distB="0" distL="0" distR="0">
            <wp:extent cx="2895600" cy="3249295"/>
            <wp:effectExtent l="0" t="0" r="0" b="825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895600" cy="3249295"/>
                    </a:xfrm>
                    <a:prstGeom prst="rect">
                      <a:avLst/>
                    </a:prstGeom>
                    <a:noFill/>
                  </pic:spPr>
                </pic:pic>
              </a:graphicData>
            </a:graphic>
          </wp:inline>
        </w:drawing>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图</w:t>
      </w:r>
      <w:r>
        <w:rPr>
          <w:rFonts w:ascii="宋体" w:hAnsi="宋体" w:eastAsia="宋体" w:cs="宋体"/>
          <w:b/>
          <w:bCs/>
          <w:sz w:val="22"/>
          <w:szCs w:val="22"/>
        </w:rPr>
        <w:t>5</w:t>
      </w:r>
      <w:r>
        <w:rPr>
          <w:rFonts w:hint="eastAsia" w:ascii="宋体" w:hAnsi="宋体" w:eastAsia="宋体" w:cs="宋体"/>
          <w:b/>
          <w:bCs/>
          <w:sz w:val="22"/>
          <w:szCs w:val="22"/>
        </w:rPr>
        <w:t xml:space="preserve"> </w:t>
      </w:r>
      <w:bookmarkStart w:id="0" w:name="_Hlk113353928"/>
      <w:r>
        <w:rPr>
          <w:rFonts w:hint="eastAsia" w:ascii="宋体" w:hAnsi="宋体" w:eastAsia="宋体" w:cs="宋体"/>
          <w:b/>
          <w:bCs/>
          <w:sz w:val="22"/>
          <w:szCs w:val="22"/>
        </w:rPr>
        <w:t>成品激光垂准仪结构图</w:t>
      </w:r>
      <w:bookmarkEnd w:id="0"/>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（2）成品激光垂准仪改造后的远程遥控</w:t>
      </w:r>
    </w:p>
    <w:p>
      <w:pPr>
        <w:spacing w:line="312" w:lineRule="auto"/>
        <w:ind w:firstLine="440" w:firstLineChars="200"/>
        <w:jc w:val="center"/>
        <w:rPr>
          <w:rFonts w:ascii="宋体" w:hAnsi="宋体" w:eastAsia="宋体" w:cs="宋体"/>
          <w:sz w:val="22"/>
          <w:szCs w:val="22"/>
        </w:rPr>
      </w:pPr>
      <w:r>
        <w:rPr>
          <w:rFonts w:ascii="宋体" w:hAnsi="宋体" w:eastAsia="宋体" w:cs="宋体"/>
          <w:sz w:val="22"/>
          <w:szCs w:val="22"/>
        </w:rPr>
        <w:drawing>
          <wp:inline distT="0" distB="0" distL="0" distR="0">
            <wp:extent cx="3298190" cy="4334510"/>
            <wp:effectExtent l="0" t="0" r="0"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3298190" cy="4334510"/>
                    </a:xfrm>
                    <a:prstGeom prst="rect">
                      <a:avLst/>
                    </a:prstGeom>
                    <a:noFill/>
                  </pic:spPr>
                </pic:pic>
              </a:graphicData>
            </a:graphic>
          </wp:inline>
        </w:drawing>
      </w:r>
    </w:p>
    <w:p>
      <w:pPr>
        <w:spacing w:line="312" w:lineRule="auto"/>
        <w:jc w:val="center"/>
        <w:rPr>
          <w:rFonts w:ascii="宋体" w:hAnsi="宋体" w:eastAsia="宋体" w:cs="宋体"/>
          <w:b/>
          <w:bCs/>
          <w:sz w:val="22"/>
          <w:szCs w:val="22"/>
        </w:rPr>
      </w:pPr>
      <w:bookmarkStart w:id="1" w:name="_Hlk113354752"/>
      <w:r>
        <w:rPr>
          <w:rFonts w:hint="eastAsia" w:ascii="宋体" w:hAnsi="宋体" w:eastAsia="宋体" w:cs="宋体"/>
          <w:b/>
          <w:bCs/>
          <w:sz w:val="22"/>
          <w:szCs w:val="22"/>
        </w:rPr>
        <w:t>图</w:t>
      </w:r>
      <w:r>
        <w:rPr>
          <w:rFonts w:ascii="宋体" w:hAnsi="宋体" w:eastAsia="宋体" w:cs="宋体"/>
          <w:b/>
          <w:bCs/>
          <w:sz w:val="22"/>
          <w:szCs w:val="22"/>
        </w:rPr>
        <w:t>6</w:t>
      </w:r>
      <w:r>
        <w:rPr>
          <w:rFonts w:hint="eastAsia" w:ascii="宋体" w:hAnsi="宋体" w:eastAsia="宋体" w:cs="宋体"/>
          <w:b/>
          <w:bCs/>
          <w:sz w:val="22"/>
          <w:szCs w:val="22"/>
        </w:rPr>
        <w:t xml:space="preserve"> 改造后激光垂准仪图</w:t>
      </w:r>
    </w:p>
    <w:bookmarkEnd w:id="1"/>
    <w:p>
      <w:pPr>
        <w:spacing w:line="312" w:lineRule="auto"/>
        <w:ind w:firstLine="440" w:firstLineChars="200"/>
        <w:rPr>
          <w:rFonts w:ascii="宋体" w:hAnsi="宋体" w:eastAsia="宋体" w:cs="宋体"/>
          <w:sz w:val="22"/>
          <w:szCs w:val="22"/>
        </w:rPr>
      </w:pPr>
      <w:bookmarkStart w:id="2" w:name="_Hlk113353695"/>
      <w:r>
        <w:rPr>
          <w:rFonts w:hint="eastAsia" w:ascii="宋体" w:hAnsi="宋体" w:eastAsia="宋体" w:cs="宋体"/>
          <w:sz w:val="22"/>
          <w:szCs w:val="22"/>
        </w:rPr>
        <w:t>（</w:t>
      </w:r>
      <w:r>
        <w:rPr>
          <w:rFonts w:ascii="宋体" w:hAnsi="宋体" w:eastAsia="宋体" w:cs="宋体"/>
          <w:sz w:val="22"/>
          <w:szCs w:val="22"/>
        </w:rPr>
        <w:t>3</w:t>
      </w:r>
      <w:r>
        <w:rPr>
          <w:rFonts w:hint="eastAsia" w:ascii="宋体" w:hAnsi="宋体" w:eastAsia="宋体" w:cs="宋体"/>
          <w:sz w:val="22"/>
          <w:szCs w:val="22"/>
        </w:rPr>
        <w:t>）供电与直流电机减速遥控接收装置</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xml:space="preserve">   </w:t>
      </w:r>
      <w:r>
        <w:rPr>
          <w:rFonts w:ascii="宋体" w:hAnsi="宋体" w:eastAsia="宋体" w:cs="宋体"/>
          <w:sz w:val="22"/>
          <w:szCs w:val="22"/>
        </w:rPr>
        <w:t>1</w:t>
      </w:r>
      <w:r>
        <w:rPr>
          <w:rFonts w:hint="eastAsia" w:ascii="宋体" w:hAnsi="宋体" w:eastAsia="宋体" w:cs="宋体"/>
          <w:sz w:val="22"/>
          <w:szCs w:val="22"/>
        </w:rPr>
        <w:t>）供电部分为220V交流电压经市场采购成品开关电源输出12V直流稳压电源，提供给遥控接收装置，垂准仪供电采用降压模块12V直流降压至3V直流供电</w:t>
      </w:r>
      <w:bookmarkEnd w:id="2"/>
      <w:r>
        <w:rPr>
          <w:rFonts w:hint="eastAsia" w:ascii="宋体" w:hAnsi="宋体" w:eastAsia="宋体" w:cs="宋体"/>
          <w:sz w:val="22"/>
          <w:szCs w:val="22"/>
        </w:rPr>
        <w:t>。</w:t>
      </w:r>
    </w:p>
    <w:p>
      <w:pPr>
        <w:spacing w:line="312" w:lineRule="auto"/>
        <w:jc w:val="center"/>
      </w:pPr>
      <w:r>
        <w:rPr>
          <w:rFonts w:ascii="宋体" w:hAnsi="宋体" w:cs="宋体"/>
          <w:kern w:val="0"/>
          <w:sz w:val="28"/>
          <w:szCs w:val="28"/>
        </w:rPr>
        <w:drawing>
          <wp:inline distT="0" distB="0" distL="0" distR="0">
            <wp:extent cx="2851150" cy="2926080"/>
            <wp:effectExtent l="0" t="0" r="6350" b="7620"/>
            <wp:docPr id="3" name="图片 127" descr="S7%KKPDYM{MK]JJ07Y0$%{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27" descr="S7%KKPDYM{MK]JJ07Y0$%{J"/>
                    <pic:cNvPicPr>
                      <a:picLocks noChangeAspect="1" noChangeArrowheads="1"/>
                    </pic:cNvPicPr>
                  </pic:nvPicPr>
                  <pic:blipFill>
                    <a:blip r:embed="rId12" cstate="print"/>
                    <a:srcRect/>
                    <a:stretch>
                      <a:fillRect/>
                    </a:stretch>
                  </pic:blipFill>
                  <pic:spPr>
                    <a:xfrm>
                      <a:off x="0" y="0"/>
                      <a:ext cx="2859776" cy="2934933"/>
                    </a:xfrm>
                    <a:prstGeom prst="rect">
                      <a:avLst/>
                    </a:prstGeom>
                    <a:noFill/>
                    <a:ln w="9525">
                      <a:noFill/>
                      <a:miter lim="800000"/>
                      <a:headEnd/>
                      <a:tailEnd/>
                    </a:ln>
                  </pic:spPr>
                </pic:pic>
              </a:graphicData>
            </a:graphic>
          </wp:inline>
        </w:drawing>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图</w:t>
      </w:r>
      <w:r>
        <w:rPr>
          <w:rFonts w:ascii="宋体" w:hAnsi="宋体" w:eastAsia="宋体" w:cs="宋体"/>
          <w:b/>
          <w:bCs/>
          <w:sz w:val="22"/>
          <w:szCs w:val="22"/>
        </w:rPr>
        <w:t>7</w:t>
      </w:r>
      <w:r>
        <w:rPr>
          <w:rFonts w:hint="eastAsia" w:ascii="宋体" w:hAnsi="宋体" w:eastAsia="宋体" w:cs="宋体"/>
          <w:b/>
          <w:bCs/>
          <w:sz w:val="22"/>
          <w:szCs w:val="22"/>
        </w:rPr>
        <w:t xml:space="preserve"> 成品开关电源</w:t>
      </w:r>
    </w:p>
    <w:p>
      <w:pPr>
        <w:spacing w:line="312" w:lineRule="auto"/>
        <w:jc w:val="center"/>
      </w:pPr>
    </w:p>
    <w:p>
      <w:pPr>
        <w:spacing w:line="312" w:lineRule="auto"/>
        <w:ind w:firstLine="880" w:firstLineChars="400"/>
        <w:rPr>
          <w:rFonts w:ascii="宋体" w:hAnsi="宋体" w:eastAsia="宋体" w:cs="宋体"/>
          <w:sz w:val="22"/>
          <w:szCs w:val="22"/>
        </w:rPr>
      </w:pPr>
      <w:bookmarkStart w:id="3" w:name="_Hlk113354033"/>
      <w:r>
        <w:rPr>
          <w:rFonts w:hint="eastAsia" w:ascii="宋体" w:hAnsi="宋体" w:eastAsia="宋体" w:cs="宋体"/>
          <w:sz w:val="22"/>
          <w:szCs w:val="22"/>
        </w:rPr>
        <w:t>2）直流电机和减速机为一体式装置，用以降低直流电机转速，增加扭矩。</w:t>
      </w:r>
    </w:p>
    <w:bookmarkEnd w:id="3"/>
    <w:p>
      <w:pPr>
        <w:spacing w:line="312" w:lineRule="auto"/>
        <w:jc w:val="center"/>
      </w:pPr>
      <w:r>
        <w:drawing>
          <wp:inline distT="0" distB="0" distL="0" distR="0">
            <wp:extent cx="4383405" cy="356997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393025" cy="3577971"/>
                    </a:xfrm>
                    <a:prstGeom prst="rect">
                      <a:avLst/>
                    </a:prstGeom>
                    <a:noFill/>
                  </pic:spPr>
                </pic:pic>
              </a:graphicData>
            </a:graphic>
          </wp:inline>
        </w:drawing>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图</w:t>
      </w:r>
      <w:r>
        <w:rPr>
          <w:rFonts w:ascii="宋体" w:hAnsi="宋体" w:eastAsia="宋体" w:cs="宋体"/>
          <w:b/>
          <w:bCs/>
          <w:sz w:val="22"/>
          <w:szCs w:val="22"/>
        </w:rPr>
        <w:t>8</w:t>
      </w:r>
      <w:r>
        <w:rPr>
          <w:rFonts w:hint="eastAsia" w:ascii="宋体" w:hAnsi="宋体" w:eastAsia="宋体" w:cs="宋体"/>
          <w:b/>
          <w:bCs/>
          <w:sz w:val="22"/>
          <w:szCs w:val="22"/>
        </w:rPr>
        <w:t xml:space="preserve"> 一体式直流减速电机</w:t>
      </w:r>
    </w:p>
    <w:p>
      <w:pPr>
        <w:spacing w:line="312" w:lineRule="auto"/>
        <w:ind w:firstLine="880" w:firstLineChars="400"/>
        <w:rPr>
          <w:rFonts w:ascii="宋体" w:hAnsi="宋体" w:eastAsia="宋体" w:cs="宋体"/>
          <w:sz w:val="22"/>
          <w:szCs w:val="22"/>
        </w:rPr>
      </w:pPr>
      <w:bookmarkStart w:id="4" w:name="_Hlk113354220"/>
      <w:r>
        <w:rPr>
          <w:rFonts w:ascii="宋体" w:hAnsi="宋体" w:eastAsia="宋体" w:cs="宋体"/>
          <w:sz w:val="22"/>
          <w:szCs w:val="22"/>
        </w:rPr>
        <w:t>3</w:t>
      </w:r>
      <w:r>
        <w:rPr>
          <w:rFonts w:hint="eastAsia" w:ascii="宋体" w:hAnsi="宋体" w:eastAsia="宋体" w:cs="宋体"/>
          <w:sz w:val="22"/>
          <w:szCs w:val="22"/>
        </w:rPr>
        <w:t>）直流电机扭力输出采用网购一大一小两个齿轮传递到垂准仪调焦手轮轴，变手动为遥控</w:t>
      </w:r>
      <w:bookmarkEnd w:id="4"/>
      <w:r>
        <w:rPr>
          <w:rFonts w:hint="eastAsia" w:ascii="宋体" w:hAnsi="宋体" w:eastAsia="宋体" w:cs="宋体"/>
          <w:sz w:val="22"/>
          <w:szCs w:val="22"/>
        </w:rPr>
        <w:t>自动。</w:t>
      </w:r>
    </w:p>
    <w:p>
      <w:pPr>
        <w:spacing w:line="312" w:lineRule="auto"/>
        <w:jc w:val="center"/>
      </w:pPr>
      <w:r>
        <w:drawing>
          <wp:inline distT="0" distB="0" distL="0" distR="0">
            <wp:extent cx="3808095" cy="3278505"/>
            <wp:effectExtent l="0" t="0" r="190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3845698" cy="3310467"/>
                    </a:xfrm>
                    <a:prstGeom prst="rect">
                      <a:avLst/>
                    </a:prstGeom>
                    <a:noFill/>
                  </pic:spPr>
                </pic:pic>
              </a:graphicData>
            </a:graphic>
          </wp:inline>
        </w:drawing>
      </w:r>
    </w:p>
    <w:p>
      <w:pPr>
        <w:spacing w:line="312" w:lineRule="auto"/>
        <w:jc w:val="center"/>
        <w:rPr>
          <w:rFonts w:ascii="宋体" w:hAnsi="宋体" w:eastAsia="宋体" w:cs="宋体"/>
          <w:b/>
          <w:bCs/>
          <w:sz w:val="22"/>
          <w:szCs w:val="22"/>
        </w:rPr>
      </w:pPr>
      <w:bookmarkStart w:id="5" w:name="_Hlk113354841"/>
      <w:bookmarkStart w:id="6" w:name="_Hlk113354103"/>
      <w:r>
        <w:rPr>
          <w:rFonts w:hint="eastAsia" w:ascii="宋体" w:hAnsi="宋体" w:eastAsia="宋体" w:cs="宋体"/>
          <w:b/>
          <w:bCs/>
          <w:sz w:val="22"/>
          <w:szCs w:val="22"/>
        </w:rPr>
        <w:t>图</w:t>
      </w:r>
      <w:r>
        <w:rPr>
          <w:rFonts w:ascii="宋体" w:hAnsi="宋体" w:eastAsia="宋体" w:cs="宋体"/>
          <w:b/>
          <w:bCs/>
          <w:sz w:val="22"/>
          <w:szCs w:val="22"/>
        </w:rPr>
        <w:t>9</w:t>
      </w:r>
      <w:r>
        <w:rPr>
          <w:rFonts w:hint="eastAsia" w:ascii="宋体" w:hAnsi="宋体" w:eastAsia="宋体" w:cs="宋体"/>
          <w:b/>
          <w:bCs/>
          <w:sz w:val="22"/>
          <w:szCs w:val="22"/>
        </w:rPr>
        <w:t xml:space="preserve"> 转换铜齿轮</w:t>
      </w:r>
    </w:p>
    <w:bookmarkEnd w:id="5"/>
    <w:p>
      <w:pPr>
        <w:spacing w:line="312" w:lineRule="auto"/>
        <w:ind w:firstLine="880" w:firstLineChars="400"/>
        <w:jc w:val="left"/>
        <w:rPr>
          <w:rFonts w:ascii="宋体" w:hAnsi="宋体" w:eastAsia="宋体" w:cs="宋体"/>
          <w:sz w:val="22"/>
          <w:szCs w:val="22"/>
        </w:rPr>
      </w:pPr>
      <w:r>
        <w:rPr>
          <w:rFonts w:ascii="宋体" w:hAnsi="宋体" w:eastAsia="宋体" w:cs="宋体"/>
          <w:sz w:val="22"/>
          <w:szCs w:val="22"/>
        </w:rPr>
        <w:t>4</w:t>
      </w:r>
      <w:r>
        <w:rPr>
          <w:rFonts w:hint="eastAsia" w:ascii="宋体" w:hAnsi="宋体" w:eastAsia="宋体" w:cs="宋体"/>
          <w:sz w:val="22"/>
          <w:szCs w:val="22"/>
        </w:rPr>
        <w:t>）遥控接收装置为厂家半成品模块，通过连线设计供调焦直流电机使用，主要控制未端供电和直流电机正反转。</w:t>
      </w:r>
    </w:p>
    <w:p>
      <w:pPr>
        <w:spacing w:line="312" w:lineRule="auto"/>
        <w:jc w:val="center"/>
        <w:rPr>
          <w:rFonts w:ascii="宋体" w:hAnsi="宋体" w:eastAsia="宋体" w:cs="宋体"/>
          <w:b/>
          <w:bCs/>
          <w:sz w:val="22"/>
          <w:szCs w:val="22"/>
        </w:rPr>
      </w:pPr>
      <w:r>
        <w:rPr>
          <w:rFonts w:ascii="宋体" w:hAnsi="宋体" w:cs="宋体"/>
          <w:kern w:val="0"/>
          <w:sz w:val="28"/>
          <w:szCs w:val="28"/>
        </w:rPr>
        <w:drawing>
          <wp:anchor distT="0" distB="0" distL="114300" distR="114300" simplePos="0" relativeHeight="251660288" behindDoc="0" locked="0" layoutInCell="1" allowOverlap="1">
            <wp:simplePos x="0" y="0"/>
            <wp:positionH relativeFrom="margin">
              <wp:posOffset>1031240</wp:posOffset>
            </wp:positionH>
            <wp:positionV relativeFrom="paragraph">
              <wp:posOffset>152400</wp:posOffset>
            </wp:positionV>
            <wp:extent cx="3488055" cy="4841875"/>
            <wp:effectExtent l="0" t="0" r="0" b="0"/>
            <wp:wrapSquare wrapText="bothSides"/>
            <wp:docPr id="4" name="图片 126" descr="X8~J%ESTZ}S8AEI095IQ1}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26" descr="X8~J%ESTZ}S8AEI095IQ1}K"/>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3488055" cy="4841875"/>
                    </a:xfrm>
                    <a:prstGeom prst="rect">
                      <a:avLst/>
                    </a:prstGeom>
                    <a:noFill/>
                    <a:ln w="9525">
                      <a:noFill/>
                      <a:miter lim="800000"/>
                      <a:headEnd/>
                      <a:tailEnd/>
                    </a:ln>
                  </pic:spPr>
                </pic:pic>
              </a:graphicData>
            </a:graphic>
          </wp:anchor>
        </w:drawing>
      </w:r>
      <w:r>
        <w:rPr>
          <w:rFonts w:ascii="宋体" w:hAnsi="宋体" w:eastAsia="宋体" w:cs="宋体"/>
          <w:sz w:val="22"/>
          <w:szCs w:val="22"/>
        </w:rPr>
        <w:br w:type="textWrapping" w:clear="all"/>
      </w:r>
      <w:r>
        <w:rPr>
          <w:rFonts w:hint="eastAsia" w:ascii="宋体" w:hAnsi="宋体" w:eastAsia="宋体" w:cs="宋体"/>
          <w:b/>
          <w:bCs/>
          <w:sz w:val="22"/>
          <w:szCs w:val="22"/>
        </w:rPr>
        <w:t>图</w:t>
      </w:r>
      <w:r>
        <w:rPr>
          <w:rFonts w:ascii="宋体" w:hAnsi="宋体" w:eastAsia="宋体" w:cs="宋体"/>
          <w:b/>
          <w:bCs/>
          <w:sz w:val="22"/>
          <w:szCs w:val="22"/>
        </w:rPr>
        <w:t>10</w:t>
      </w:r>
      <w:r>
        <w:rPr>
          <w:rFonts w:hint="eastAsia" w:ascii="宋体" w:hAnsi="宋体" w:eastAsia="宋体" w:cs="宋体"/>
          <w:b/>
          <w:bCs/>
          <w:sz w:val="22"/>
          <w:szCs w:val="22"/>
        </w:rPr>
        <w:t xml:space="preserve"> 遥控接收正反转板</w:t>
      </w:r>
    </w:p>
    <w:p>
      <w:pPr>
        <w:spacing w:line="312" w:lineRule="auto"/>
        <w:jc w:val="center"/>
        <w:rPr>
          <w:rFonts w:ascii="宋体" w:hAnsi="宋体" w:eastAsia="宋体" w:cs="宋体"/>
          <w:sz w:val="22"/>
          <w:szCs w:val="22"/>
        </w:rPr>
      </w:pPr>
      <w:r>
        <w:rPr>
          <w:rFonts w:ascii="宋体" w:hAnsi="宋体" w:eastAsia="宋体" w:cs="宋体"/>
          <w:sz w:val="22"/>
          <w:szCs w:val="22"/>
        </w:rPr>
        <w:drawing>
          <wp:inline distT="0" distB="0" distL="0" distR="0">
            <wp:extent cx="4428490" cy="242379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485980" cy="2455651"/>
                    </a:xfrm>
                    <a:prstGeom prst="rect">
                      <a:avLst/>
                    </a:prstGeom>
                    <a:noFill/>
                  </pic:spPr>
                </pic:pic>
              </a:graphicData>
            </a:graphic>
          </wp:inline>
        </w:drawing>
      </w:r>
    </w:p>
    <w:p>
      <w:pPr>
        <w:spacing w:line="312" w:lineRule="auto"/>
        <w:jc w:val="center"/>
        <w:rPr>
          <w:rFonts w:ascii="宋体" w:hAnsi="宋体" w:eastAsia="宋体" w:cs="宋体"/>
          <w:b/>
          <w:bCs/>
          <w:sz w:val="22"/>
          <w:szCs w:val="22"/>
        </w:rPr>
      </w:pPr>
      <w:bookmarkStart w:id="7" w:name="_Hlk113354881"/>
      <w:r>
        <w:rPr>
          <w:rFonts w:hint="eastAsia" w:ascii="宋体" w:hAnsi="宋体" w:eastAsia="宋体" w:cs="宋体"/>
          <w:b/>
          <w:bCs/>
          <w:sz w:val="22"/>
          <w:szCs w:val="22"/>
        </w:rPr>
        <w:t>图</w:t>
      </w:r>
      <w:r>
        <w:rPr>
          <w:rFonts w:ascii="宋体" w:hAnsi="宋体" w:eastAsia="宋体" w:cs="宋体"/>
          <w:b/>
          <w:bCs/>
          <w:sz w:val="22"/>
          <w:szCs w:val="22"/>
        </w:rPr>
        <w:t>11</w:t>
      </w:r>
      <w:r>
        <w:rPr>
          <w:rFonts w:hint="eastAsia" w:ascii="宋体" w:hAnsi="宋体" w:eastAsia="宋体" w:cs="宋体"/>
          <w:b/>
          <w:bCs/>
          <w:sz w:val="22"/>
          <w:szCs w:val="22"/>
        </w:rPr>
        <w:t xml:space="preserve"> 远程遥控器</w:t>
      </w:r>
    </w:p>
    <w:bookmarkEnd w:id="7"/>
    <w:p>
      <w:pPr>
        <w:spacing w:line="312" w:lineRule="auto"/>
        <w:jc w:val="center"/>
        <w:rPr>
          <w:rFonts w:ascii="宋体" w:hAnsi="宋体" w:eastAsia="宋体" w:cs="宋体"/>
          <w:sz w:val="22"/>
          <w:szCs w:val="22"/>
        </w:rPr>
      </w:pPr>
    </w:p>
    <w:p>
      <w:pPr>
        <w:spacing w:line="312" w:lineRule="auto"/>
        <w:ind w:firstLine="440" w:firstLineChars="200"/>
        <w:jc w:val="left"/>
        <w:rPr>
          <w:rFonts w:ascii="宋体" w:hAnsi="宋体" w:eastAsia="宋体" w:cs="宋体"/>
          <w:sz w:val="22"/>
          <w:szCs w:val="22"/>
        </w:rPr>
      </w:pPr>
      <w:r>
        <w:rPr>
          <w:rFonts w:ascii="宋体" w:hAnsi="宋体" w:eastAsia="宋体" w:cs="宋体"/>
          <w:sz w:val="22"/>
          <w:szCs w:val="22"/>
        </w:rPr>
        <w:t>5</w:t>
      </w:r>
      <w:r>
        <w:rPr>
          <w:rFonts w:hint="eastAsia" w:ascii="宋体" w:hAnsi="宋体" w:eastAsia="宋体" w:cs="宋体"/>
          <w:sz w:val="22"/>
          <w:szCs w:val="22"/>
        </w:rPr>
        <w:t>）顶部激光靶装置</w:t>
      </w:r>
    </w:p>
    <w:p>
      <w:pPr>
        <w:spacing w:line="312" w:lineRule="auto"/>
        <w:jc w:val="left"/>
        <w:rPr>
          <w:rFonts w:ascii="宋体" w:hAnsi="宋体" w:eastAsia="宋体" w:cs="宋体"/>
          <w:sz w:val="22"/>
          <w:szCs w:val="22"/>
        </w:rPr>
      </w:pPr>
      <w:r>
        <w:rPr>
          <w:rFonts w:hint="eastAsia" w:ascii="宋体" w:hAnsi="宋体" w:eastAsia="宋体" w:cs="宋体"/>
          <w:sz w:val="22"/>
          <w:szCs w:val="22"/>
        </w:rPr>
        <w:t>在模板厂家加工高墩支架模板时预留并安装垂直度控制装置：在模板对角相应垂准仪激光靶安装位置切割或焊接激光垂准仪激光靶孔洞，两层模板或多层模板时要根据垂直原理同时预留孔洞，在模板顶层安装激光靶后出厂。</w:t>
      </w:r>
    </w:p>
    <w:p>
      <w:pPr>
        <w:spacing w:line="312" w:lineRule="auto"/>
        <w:jc w:val="center"/>
        <w:rPr>
          <w:rFonts w:ascii="宋体" w:hAnsi="宋体" w:eastAsia="宋体" w:cs="宋体"/>
          <w:b/>
          <w:bCs/>
          <w:sz w:val="22"/>
          <w:szCs w:val="22"/>
        </w:rPr>
      </w:pPr>
      <w:r>
        <w:rPr>
          <w:rFonts w:ascii="宋体" w:hAnsi="宋体" w:cs="华文仿宋"/>
          <w:sz w:val="28"/>
          <w:szCs w:val="28"/>
        </w:rPr>
        <w:drawing>
          <wp:inline distT="0" distB="0" distL="0" distR="0">
            <wp:extent cx="3113405" cy="2900680"/>
            <wp:effectExtent l="0" t="0" r="0" b="0"/>
            <wp:docPr id="21" name="图片 0" descr="激光靶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0" descr="激光靶1.jpg"/>
                    <pic:cNvPicPr>
                      <a:picLocks noChangeAspect="1" noChangeArrowheads="1"/>
                    </pic:cNvPicPr>
                  </pic:nvPicPr>
                  <pic:blipFill>
                    <a:blip r:embed="rId17" cstate="print"/>
                    <a:srcRect/>
                    <a:stretch>
                      <a:fillRect/>
                    </a:stretch>
                  </pic:blipFill>
                  <pic:spPr>
                    <a:xfrm>
                      <a:off x="0" y="0"/>
                      <a:ext cx="3125777" cy="2912343"/>
                    </a:xfrm>
                    <a:prstGeom prst="rect">
                      <a:avLst/>
                    </a:prstGeom>
                    <a:noFill/>
                    <a:ln w="9525">
                      <a:noFill/>
                      <a:miter lim="800000"/>
                      <a:headEnd/>
                      <a:tailEnd/>
                    </a:ln>
                  </pic:spPr>
                </pic:pic>
              </a:graphicData>
            </a:graphic>
          </wp:inline>
        </w:drawing>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图1</w:t>
      </w:r>
      <w:r>
        <w:rPr>
          <w:rFonts w:ascii="宋体" w:hAnsi="宋体" w:eastAsia="宋体" w:cs="宋体"/>
          <w:b/>
          <w:bCs/>
          <w:sz w:val="22"/>
          <w:szCs w:val="22"/>
        </w:rPr>
        <w:t>2</w:t>
      </w:r>
      <w:r>
        <w:rPr>
          <w:rFonts w:hint="eastAsia" w:ascii="宋体" w:hAnsi="宋体" w:eastAsia="宋体" w:cs="宋体"/>
          <w:b/>
          <w:bCs/>
          <w:sz w:val="22"/>
          <w:szCs w:val="22"/>
        </w:rPr>
        <w:t xml:space="preserve"> 激光接收靶</w:t>
      </w:r>
    </w:p>
    <w:bookmarkEnd w:id="6"/>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2.3工艺流程</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3.1工艺流程</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（1）激光垂准仪改造安装</w:t>
      </w:r>
    </w:p>
    <w:p>
      <w:pPr>
        <w:spacing w:line="312" w:lineRule="auto"/>
        <w:ind w:firstLine="440" w:firstLineChars="200"/>
        <w:rPr>
          <w:rFonts w:ascii="宋体" w:hAnsi="宋体" w:eastAsia="宋体" w:cs="宋体"/>
          <w:sz w:val="22"/>
          <w:szCs w:val="22"/>
        </w:rPr>
      </w:pPr>
      <w:bookmarkStart w:id="8" w:name="_Hlk113355511"/>
      <w:r>
        <w:rPr>
          <w:rFonts w:hint="eastAsia" w:ascii="宋体" w:hAnsi="宋体" w:eastAsia="宋体" w:cs="宋体"/>
          <w:sz w:val="22"/>
          <w:szCs w:val="22"/>
        </w:rPr>
        <w:t xml:space="preserve"> </w:t>
      </w:r>
      <w:r>
        <w:rPr>
          <w:rFonts w:ascii="宋体" w:hAnsi="宋体" w:eastAsia="宋体" w:cs="宋体"/>
          <w:sz w:val="22"/>
          <w:szCs w:val="22"/>
        </w:rPr>
        <w:t xml:space="preserve">   1</w:t>
      </w:r>
      <w:r>
        <w:rPr>
          <w:rFonts w:hint="eastAsia" w:ascii="宋体" w:hAnsi="宋体" w:eastAsia="宋体" w:cs="宋体"/>
          <w:sz w:val="22"/>
          <w:szCs w:val="22"/>
        </w:rPr>
        <w:t>）采购成品激光垂准仪、直流开关电源、直流减速电机、多功能遥控套件、转换齿轮、树脂板；</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w:t>
      </w:r>
      <w:r>
        <w:rPr>
          <w:rFonts w:ascii="宋体" w:hAnsi="宋体" w:eastAsia="宋体" w:cs="宋体"/>
          <w:sz w:val="22"/>
          <w:szCs w:val="22"/>
        </w:rPr>
        <w:t>2</w:t>
      </w:r>
      <w:r>
        <w:rPr>
          <w:rFonts w:hint="eastAsia" w:ascii="宋体" w:hAnsi="宋体" w:eastAsia="宋体" w:cs="宋体"/>
          <w:sz w:val="22"/>
          <w:szCs w:val="22"/>
        </w:rPr>
        <w:t>）拆除垂准仪手控调焦旋钮，安转齿轮1；</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xml:space="preserve"> </w:t>
      </w:r>
      <w:r>
        <w:rPr>
          <w:rFonts w:ascii="宋体" w:hAnsi="宋体" w:eastAsia="宋体" w:cs="宋体"/>
          <w:sz w:val="22"/>
          <w:szCs w:val="22"/>
        </w:rPr>
        <w:t xml:space="preserve">   3</w:t>
      </w:r>
      <w:r>
        <w:rPr>
          <w:rFonts w:hint="eastAsia" w:ascii="宋体" w:hAnsi="宋体" w:eastAsia="宋体" w:cs="宋体"/>
          <w:sz w:val="22"/>
          <w:szCs w:val="22"/>
        </w:rPr>
        <w:t>）根据安装位置要求在树脂板打孔固定直流电机、安装齿轮2，与调焦齿轮1吻合后进行固定；</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xml:space="preserve"> </w:t>
      </w:r>
      <w:r>
        <w:rPr>
          <w:rFonts w:ascii="宋体" w:hAnsi="宋体" w:eastAsia="宋体" w:cs="宋体"/>
          <w:sz w:val="22"/>
          <w:szCs w:val="22"/>
        </w:rPr>
        <w:t xml:space="preserve">   4</w:t>
      </w:r>
      <w:r>
        <w:rPr>
          <w:rFonts w:hint="eastAsia" w:ascii="宋体" w:hAnsi="宋体" w:eastAsia="宋体" w:cs="宋体"/>
          <w:sz w:val="22"/>
          <w:szCs w:val="22"/>
        </w:rPr>
        <w:t>）连接遥控板到直流电机和垂准仪供电极；</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xml:space="preserve"> </w:t>
      </w:r>
      <w:r>
        <w:rPr>
          <w:rFonts w:ascii="宋体" w:hAnsi="宋体" w:eastAsia="宋体" w:cs="宋体"/>
          <w:sz w:val="22"/>
          <w:szCs w:val="22"/>
        </w:rPr>
        <w:t xml:space="preserve">   5</w:t>
      </w:r>
      <w:r>
        <w:rPr>
          <w:rFonts w:hint="eastAsia" w:ascii="宋体" w:hAnsi="宋体" w:eastAsia="宋体" w:cs="宋体"/>
          <w:sz w:val="22"/>
          <w:szCs w:val="22"/>
        </w:rPr>
        <w:t>）开关电源与遥控板连接</w:t>
      </w:r>
    </w:p>
    <w:bookmarkEnd w:id="8"/>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（2）改造后激光垂准仪控制高墩施工</w:t>
      </w:r>
    </w:p>
    <w:p>
      <w:pPr>
        <w:spacing w:line="312" w:lineRule="auto"/>
        <w:ind w:firstLine="880" w:firstLineChars="400"/>
        <w:rPr>
          <w:rFonts w:ascii="宋体" w:hAnsi="宋体" w:eastAsia="宋体" w:cs="宋体"/>
          <w:sz w:val="22"/>
          <w:szCs w:val="22"/>
        </w:rPr>
      </w:pPr>
      <w:r>
        <w:rPr>
          <w:rFonts w:hint="eastAsia" w:ascii="宋体" w:hAnsi="宋体" w:eastAsia="宋体" w:cs="宋体"/>
          <w:sz w:val="22"/>
          <w:szCs w:val="22"/>
        </w:rPr>
        <w:t>1）全站仪在墩底承台位置施工放样；</w:t>
      </w:r>
    </w:p>
    <w:p>
      <w:pPr>
        <w:spacing w:line="312" w:lineRule="auto"/>
        <w:ind w:firstLine="880" w:firstLineChars="400"/>
        <w:rPr>
          <w:rFonts w:ascii="宋体" w:hAnsi="宋体" w:eastAsia="宋体" w:cs="宋体"/>
          <w:sz w:val="22"/>
          <w:szCs w:val="22"/>
        </w:rPr>
      </w:pPr>
      <w:r>
        <w:rPr>
          <w:rFonts w:hint="eastAsia" w:ascii="宋体" w:hAnsi="宋体" w:eastAsia="宋体" w:cs="宋体"/>
          <w:sz w:val="22"/>
          <w:szCs w:val="22"/>
        </w:rPr>
        <w:t>2）承台上安装模板；</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w:t>
      </w:r>
      <w:r>
        <w:rPr>
          <w:rFonts w:ascii="宋体" w:hAnsi="宋体" w:eastAsia="宋体" w:cs="宋体"/>
          <w:sz w:val="22"/>
          <w:szCs w:val="22"/>
        </w:rPr>
        <w:t>3</w:t>
      </w:r>
      <w:r>
        <w:rPr>
          <w:rFonts w:hint="eastAsia" w:ascii="宋体" w:hAnsi="宋体" w:eastAsia="宋体" w:cs="宋体"/>
          <w:sz w:val="22"/>
          <w:szCs w:val="22"/>
        </w:rPr>
        <w:t>）承台控制点上安装激光垂准仪；</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w:t>
      </w:r>
      <w:r>
        <w:rPr>
          <w:rFonts w:ascii="宋体" w:hAnsi="宋体" w:eastAsia="宋体" w:cs="宋体"/>
          <w:sz w:val="22"/>
          <w:szCs w:val="22"/>
        </w:rPr>
        <w:t>4</w:t>
      </w:r>
      <w:r>
        <w:rPr>
          <w:rFonts w:hint="eastAsia" w:ascii="宋体" w:hAnsi="宋体" w:eastAsia="宋体" w:cs="宋体"/>
          <w:sz w:val="22"/>
          <w:szCs w:val="22"/>
        </w:rPr>
        <w:t>）模板顶部安装激光靶；</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w:t>
      </w:r>
      <w:r>
        <w:rPr>
          <w:rFonts w:ascii="宋体" w:hAnsi="宋体" w:eastAsia="宋体" w:cs="宋体"/>
          <w:sz w:val="22"/>
          <w:szCs w:val="22"/>
        </w:rPr>
        <w:t>5</w:t>
      </w:r>
      <w:r>
        <w:rPr>
          <w:rFonts w:hint="eastAsia" w:ascii="宋体" w:hAnsi="宋体" w:eastAsia="宋体" w:cs="宋体"/>
          <w:sz w:val="22"/>
          <w:szCs w:val="22"/>
        </w:rPr>
        <w:t>）调整激光束对中激光靶；</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w:t>
      </w:r>
      <w:r>
        <w:rPr>
          <w:rFonts w:ascii="宋体" w:hAnsi="宋体" w:eastAsia="宋体" w:cs="宋体"/>
          <w:sz w:val="22"/>
          <w:szCs w:val="22"/>
        </w:rPr>
        <w:t>6</w:t>
      </w:r>
      <w:r>
        <w:rPr>
          <w:rFonts w:hint="eastAsia" w:ascii="宋体" w:hAnsi="宋体" w:eastAsia="宋体" w:cs="宋体"/>
          <w:sz w:val="22"/>
          <w:szCs w:val="22"/>
        </w:rPr>
        <w:t>）全站仪检查模板位置；</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w:t>
      </w:r>
      <w:r>
        <w:rPr>
          <w:rFonts w:ascii="宋体" w:hAnsi="宋体" w:eastAsia="宋体" w:cs="宋体"/>
          <w:sz w:val="22"/>
          <w:szCs w:val="22"/>
        </w:rPr>
        <w:t>7</w:t>
      </w:r>
      <w:r>
        <w:rPr>
          <w:rFonts w:hint="eastAsia" w:ascii="宋体" w:hAnsi="宋体" w:eastAsia="宋体" w:cs="宋体"/>
          <w:sz w:val="22"/>
          <w:szCs w:val="22"/>
        </w:rPr>
        <w:t>）浇筑首次模板砼；</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w:t>
      </w:r>
      <w:r>
        <w:rPr>
          <w:rFonts w:ascii="宋体" w:hAnsi="宋体" w:eastAsia="宋体" w:cs="宋体"/>
          <w:sz w:val="22"/>
          <w:szCs w:val="22"/>
        </w:rPr>
        <w:t>8</w:t>
      </w:r>
      <w:r>
        <w:rPr>
          <w:rFonts w:hint="eastAsia" w:ascii="宋体" w:hAnsi="宋体" w:eastAsia="宋体" w:cs="宋体"/>
          <w:sz w:val="22"/>
          <w:szCs w:val="22"/>
        </w:rPr>
        <w:t>）提升模板到下一阶段；</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 xml:space="preserve"> </w:t>
      </w:r>
      <w:r>
        <w:rPr>
          <w:rFonts w:ascii="宋体" w:hAnsi="宋体" w:eastAsia="宋体" w:cs="宋体"/>
          <w:sz w:val="22"/>
          <w:szCs w:val="22"/>
        </w:rPr>
        <w:t xml:space="preserve">   9</w:t>
      </w:r>
      <w:r>
        <w:rPr>
          <w:rFonts w:hint="eastAsia" w:ascii="宋体" w:hAnsi="宋体" w:eastAsia="宋体" w:cs="宋体"/>
          <w:sz w:val="22"/>
          <w:szCs w:val="22"/>
        </w:rPr>
        <w:t>）开启激光垂准仪进行模板调整</w:t>
      </w:r>
    </w:p>
    <w:p>
      <w:pPr>
        <w:spacing w:line="312" w:lineRule="auto"/>
        <w:jc w:val="center"/>
      </w:pPr>
      <w:r>
        <w:drawing>
          <wp:inline distT="0" distB="0" distL="0" distR="0">
            <wp:extent cx="5182235" cy="6525260"/>
            <wp:effectExtent l="0" t="0" r="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5182323" cy="6525536"/>
                    </a:xfrm>
                    <a:prstGeom prst="rect">
                      <a:avLst/>
                    </a:prstGeom>
                  </pic:spPr>
                </pic:pic>
              </a:graphicData>
            </a:graphic>
          </wp:inline>
        </w:drawing>
      </w:r>
    </w:p>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图</w:t>
      </w:r>
      <w:r>
        <w:rPr>
          <w:rFonts w:ascii="宋体" w:hAnsi="宋体" w:eastAsia="宋体" w:cs="宋体"/>
          <w:b/>
          <w:bCs/>
          <w:sz w:val="22"/>
          <w:szCs w:val="22"/>
        </w:rPr>
        <w:t>13</w:t>
      </w:r>
      <w:r>
        <w:rPr>
          <w:rFonts w:hint="eastAsia" w:ascii="宋体" w:hAnsi="宋体" w:eastAsia="宋体" w:cs="宋体"/>
          <w:b/>
          <w:bCs/>
          <w:sz w:val="22"/>
          <w:szCs w:val="22"/>
        </w:rPr>
        <w:t>激光垂准仪施工工艺流程图</w:t>
      </w:r>
    </w:p>
    <w:p>
      <w:pPr>
        <w:spacing w:before="156" w:beforeLines="50" w:after="156" w:afterLines="50" w:line="360" w:lineRule="auto"/>
        <w:jc w:val="center"/>
        <w:rPr>
          <w:rFonts w:ascii="黑体" w:hAnsi="黑体" w:eastAsia="黑体" w:cs="黑体"/>
          <w:b/>
          <w:bCs/>
          <w:sz w:val="24"/>
        </w:rPr>
      </w:pPr>
      <w:r>
        <w:rPr>
          <w:rFonts w:hint="eastAsia" w:ascii="黑体" w:hAnsi="黑体" w:eastAsia="黑体" w:cs="黑体"/>
          <w:b/>
          <w:bCs/>
          <w:sz w:val="24"/>
        </w:rPr>
        <w:t>3.应用效果</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桥梁高墩施工垂直度自动控制方法已在中交一公局集团四公司贵州余凯高速YT3合同段、凯羊高速公路KT5合同段、沿德高速公路7合同段、剑榕高速公路1</w:t>
      </w:r>
      <w:r>
        <w:rPr>
          <w:rFonts w:ascii="宋体" w:hAnsi="宋体" w:eastAsia="宋体" w:cs="宋体"/>
          <w:sz w:val="22"/>
          <w:szCs w:val="22"/>
        </w:rPr>
        <w:t>4</w:t>
      </w:r>
      <w:r>
        <w:rPr>
          <w:rFonts w:hint="eastAsia" w:ascii="宋体" w:hAnsi="宋体" w:eastAsia="宋体" w:cs="宋体"/>
          <w:sz w:val="22"/>
          <w:szCs w:val="22"/>
        </w:rPr>
        <w:t>、1</w:t>
      </w:r>
      <w:r>
        <w:rPr>
          <w:rFonts w:ascii="宋体" w:hAnsi="宋体" w:eastAsia="宋体" w:cs="宋体"/>
          <w:sz w:val="22"/>
          <w:szCs w:val="22"/>
        </w:rPr>
        <w:t>5</w:t>
      </w:r>
      <w:r>
        <w:rPr>
          <w:rFonts w:hint="eastAsia" w:ascii="宋体" w:hAnsi="宋体" w:eastAsia="宋体" w:cs="宋体"/>
          <w:sz w:val="22"/>
          <w:szCs w:val="22"/>
        </w:rPr>
        <w:t>合同段等多个项目进行推广使用，取得了良好的效果，桥梁高墩垂直度得到有效提高，施工过程中可以加快施工进度，调整模板时因为有了参照点依据，明显比原来全站仪控制节约了大量时间，测量人员也降低了劳动强度和观测频率。</w:t>
      </w:r>
    </w:p>
    <w:tbl>
      <w:tblPr>
        <w:tblStyle w:val="6"/>
        <w:tblW w:w="9215" w:type="dxa"/>
        <w:jc w:val="center"/>
        <w:tblLayout w:type="autofit"/>
        <w:tblCellMar>
          <w:top w:w="0" w:type="dxa"/>
          <w:left w:w="108" w:type="dxa"/>
          <w:bottom w:w="0" w:type="dxa"/>
          <w:right w:w="108" w:type="dxa"/>
        </w:tblCellMar>
      </w:tblPr>
      <w:tblGrid>
        <w:gridCol w:w="700"/>
        <w:gridCol w:w="860"/>
        <w:gridCol w:w="1134"/>
        <w:gridCol w:w="1134"/>
        <w:gridCol w:w="709"/>
        <w:gridCol w:w="709"/>
        <w:gridCol w:w="1134"/>
        <w:gridCol w:w="1134"/>
        <w:gridCol w:w="709"/>
        <w:gridCol w:w="992"/>
      </w:tblGrid>
      <w:tr>
        <w:tblPrEx>
          <w:tblCellMar>
            <w:top w:w="0" w:type="dxa"/>
            <w:left w:w="108" w:type="dxa"/>
            <w:bottom w:w="0" w:type="dxa"/>
            <w:right w:w="108" w:type="dxa"/>
          </w:tblCellMar>
        </w:tblPrEx>
        <w:trPr>
          <w:trHeight w:val="525" w:hRule="atLeast"/>
          <w:jc w:val="center"/>
        </w:trPr>
        <w:tc>
          <w:tcPr>
            <w:tcW w:w="70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序号</w:t>
            </w:r>
          </w:p>
        </w:tc>
        <w:tc>
          <w:tcPr>
            <w:tcW w:w="86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墩身4.5米一节施工</w:t>
            </w:r>
          </w:p>
        </w:tc>
        <w:tc>
          <w:tcPr>
            <w:tcW w:w="3686" w:type="dxa"/>
            <w:gridSpan w:val="4"/>
            <w:tcBorders>
              <w:top w:val="single" w:color="auto" w:sz="4" w:space="0"/>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施工工人（工时）</w:t>
            </w:r>
          </w:p>
        </w:tc>
        <w:tc>
          <w:tcPr>
            <w:tcW w:w="3969" w:type="dxa"/>
            <w:gridSpan w:val="4"/>
            <w:tcBorders>
              <w:top w:val="single" w:color="auto" w:sz="4" w:space="0"/>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测量用工（工时）</w:t>
            </w:r>
          </w:p>
        </w:tc>
      </w:tr>
      <w:tr>
        <w:tblPrEx>
          <w:tblCellMar>
            <w:top w:w="0" w:type="dxa"/>
            <w:left w:w="108" w:type="dxa"/>
            <w:bottom w:w="0" w:type="dxa"/>
            <w:right w:w="108" w:type="dxa"/>
          </w:tblCellMar>
        </w:tblPrEx>
        <w:trPr>
          <w:trHeight w:val="1080" w:hRule="atLeast"/>
          <w:jc w:val="center"/>
        </w:trPr>
        <w:tc>
          <w:tcPr>
            <w:tcW w:w="70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60" w:lineRule="auto"/>
              <w:jc w:val="left"/>
              <w:rPr>
                <w:rFonts w:cs="宋体" w:asciiTheme="minorEastAsia" w:hAnsiTheme="minorEastAsia" w:eastAsiaTheme="minorEastAsia"/>
                <w:color w:val="000000"/>
                <w:kern w:val="0"/>
                <w:sz w:val="22"/>
                <w:szCs w:val="22"/>
              </w:rPr>
            </w:pPr>
          </w:p>
        </w:tc>
        <w:tc>
          <w:tcPr>
            <w:tcW w:w="86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360" w:lineRule="auto"/>
              <w:jc w:val="left"/>
              <w:rPr>
                <w:rFonts w:cs="宋体" w:asciiTheme="minorEastAsia" w:hAnsiTheme="minorEastAsia" w:eastAsiaTheme="minorEastAsia"/>
                <w:color w:val="000000"/>
                <w:kern w:val="0"/>
                <w:sz w:val="22"/>
                <w:szCs w:val="22"/>
              </w:rPr>
            </w:pP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普通方法调校模板用工时间（6人）</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自动垂准仪调校模板用工时间（6人）</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减少时间</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减少核算工时</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普通方法调校模板用工时间（2人）</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自动垂准仪调校模板用工时间（2人）</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减少时间</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减少核算工时</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4.5</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0</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0</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9</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　</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1.5</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13.5</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　</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1.5</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18</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0</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0</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5</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22.5</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　</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1.5</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27</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　</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1.5</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7</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31.5</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0</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0</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8</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　</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1.5</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9</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40.5</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　</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1.5</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10</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45</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0</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0</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11</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49.5</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　</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1.5</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12</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54</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0</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0</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13</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58.5</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　</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1.5</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14</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60</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6</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3</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0.75</w:t>
            </w:r>
          </w:p>
        </w:tc>
      </w:tr>
      <w:tr>
        <w:tblPrEx>
          <w:tblCellMar>
            <w:top w:w="0" w:type="dxa"/>
            <w:left w:w="108" w:type="dxa"/>
            <w:bottom w:w="0" w:type="dxa"/>
            <w:right w:w="108" w:type="dxa"/>
          </w:tblCellMar>
        </w:tblPrEx>
        <w:trPr>
          <w:trHeight w:val="270" w:hRule="atLeast"/>
          <w:jc w:val="center"/>
        </w:trPr>
        <w:tc>
          <w:tcPr>
            <w:tcW w:w="700" w:type="dxa"/>
            <w:tcBorders>
              <w:top w:val="nil"/>
              <w:left w:val="single" w:color="auto" w:sz="4" w:space="0"/>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合计</w:t>
            </w:r>
          </w:p>
        </w:tc>
        <w:tc>
          <w:tcPr>
            <w:tcW w:w="860"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　</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84</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28</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56</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42</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28</w:t>
            </w:r>
          </w:p>
        </w:tc>
        <w:tc>
          <w:tcPr>
            <w:tcW w:w="1134"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11</w:t>
            </w:r>
          </w:p>
        </w:tc>
        <w:tc>
          <w:tcPr>
            <w:tcW w:w="709"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17</w:t>
            </w:r>
          </w:p>
        </w:tc>
        <w:tc>
          <w:tcPr>
            <w:tcW w:w="992" w:type="dxa"/>
            <w:tcBorders>
              <w:top w:val="nil"/>
              <w:left w:val="nil"/>
              <w:bottom w:val="single" w:color="auto" w:sz="4" w:space="0"/>
              <w:right w:val="single" w:color="auto" w:sz="4" w:space="0"/>
            </w:tcBorders>
            <w:shd w:val="clear" w:color="auto" w:fill="auto"/>
            <w:vAlign w:val="center"/>
          </w:tcPr>
          <w:p>
            <w:pPr>
              <w:widowControl/>
              <w:spacing w:line="360" w:lineRule="auto"/>
              <w:jc w:val="center"/>
              <w:rPr>
                <w:rFonts w:cs="宋体" w:asciiTheme="minorEastAsia" w:hAnsiTheme="minorEastAsia" w:eastAsiaTheme="minorEastAsia"/>
                <w:color w:val="000000"/>
                <w:kern w:val="0"/>
                <w:sz w:val="22"/>
                <w:szCs w:val="22"/>
              </w:rPr>
            </w:pPr>
            <w:r>
              <w:rPr>
                <w:rFonts w:hint="eastAsia" w:cs="宋体" w:asciiTheme="minorEastAsia" w:hAnsiTheme="minorEastAsia" w:eastAsiaTheme="minorEastAsia"/>
                <w:color w:val="000000"/>
                <w:kern w:val="0"/>
                <w:sz w:val="22"/>
                <w:szCs w:val="22"/>
              </w:rPr>
              <w:t>12.75</w:t>
            </w:r>
          </w:p>
        </w:tc>
      </w:tr>
    </w:tbl>
    <w:p>
      <w:pPr>
        <w:spacing w:line="312" w:lineRule="auto"/>
        <w:jc w:val="center"/>
        <w:rPr>
          <w:rFonts w:ascii="宋体" w:hAnsi="宋体" w:eastAsia="宋体" w:cs="宋体"/>
          <w:b/>
          <w:bCs/>
          <w:sz w:val="22"/>
          <w:szCs w:val="22"/>
        </w:rPr>
      </w:pPr>
      <w:r>
        <w:rPr>
          <w:rFonts w:hint="eastAsia" w:ascii="宋体" w:hAnsi="宋体" w:eastAsia="宋体" w:cs="宋体"/>
          <w:b/>
          <w:bCs/>
          <w:sz w:val="22"/>
          <w:szCs w:val="22"/>
        </w:rPr>
        <w:t>表1 自动垂准仪控制人工及工时使用对比表（按墩高60米统计）</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表1是按爬模或翻模施工时计算节约工时，现在施工多采用滑模或辊模，在施工时速度更快，模板控制更是要求及时准确，测量人员要求随时在现场检测模板平面精度，用原来方法需要更多全站仪和测量人员，有时测量人员忙不赢时势必影响质量和工期，快速、准确的高墩垂直度控制方法大大的提高了功效，降低了设备成本和人工成本。</w:t>
      </w:r>
    </w:p>
    <w:p>
      <w:pPr>
        <w:spacing w:before="156" w:beforeLines="50" w:after="156" w:afterLines="50" w:line="360" w:lineRule="auto"/>
        <w:jc w:val="center"/>
        <w:rPr>
          <w:rFonts w:ascii="黑体" w:hAnsi="黑体" w:eastAsia="黑体" w:cs="黑体"/>
          <w:b/>
          <w:bCs/>
          <w:sz w:val="24"/>
        </w:rPr>
      </w:pPr>
      <w:r>
        <w:rPr>
          <w:rFonts w:hint="eastAsia" w:ascii="黑体" w:hAnsi="黑体" w:eastAsia="黑体" w:cs="黑体"/>
          <w:b/>
          <w:bCs/>
          <w:sz w:val="24"/>
        </w:rPr>
        <w:t>4.推广应用前景</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rPr>
        <w:t>高墩施工垂直度自动控制方法适用于各类公路、铁路及市政桥梁高墩垂直度控制，尤其是地形复杂、施工场地狭窄、测量控制点难以布设的山区桥梁高墩柱施工，具有良好的推广应用价值，在未来的桥梁高墩施工过程中将占据主导地位。</w:t>
      </w:r>
    </w:p>
    <w:sectPr>
      <w:headerReference r:id="rId3" w:type="default"/>
      <w:footerReference r:id="rId4" w:type="default"/>
      <w:pgSz w:w="11906" w:h="16838"/>
      <w:pgMar w:top="1440" w:right="1080" w:bottom="1440" w:left="1080" w:header="1134" w:footer="1191"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方正小标宋简体">
    <w:panose1 w:val="02000000000000000000"/>
    <w:charset w:val="86"/>
    <w:family w:val="auto"/>
    <w:pitch w:val="default"/>
    <w:sig w:usb0="A00002BF" w:usb1="184F6CFA" w:usb2="00000012" w:usb3="00000000" w:csb0="00040001" w:csb1="00000000"/>
  </w:font>
  <w:font w:name="华文仿宋">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v:fill on="f" focussize="0,0"/>
              <v:stroke on="f" weight="0.5pt"/>
              <v:imagedata o:title=""/>
              <o:lock v:ext="edit" aspectratio="f"/>
              <v:textbox inset="0mm,0mm,0mm,0mm" style="mso-fit-shape-to-text:t;">
                <w:txbxContent>
                  <w:p>
                    <w:pPr>
                      <w:pStyle w:val="4"/>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ascii="黑体" w:hAnsi="黑体" w:eastAsia="黑体" w:cs="黑体"/>
      </w:rPr>
    </w:pPr>
    <w:r>
      <w:pict>
        <v:shape id="PowerPlusWaterMarkObject188469" o:spid="_x0000_s3073" o:spt="136" type="#_x0000_t136" style="position:absolute;left:0pt;height:59.75pt;width:629.3pt;mso-position-horizontal:center;mso-position-horizontal-relative:margin;mso-position-vertical:center;mso-position-vertical-relative:margin;rotation:-2949120f;z-index:-251656192;mso-width-relative:page;mso-height-relative:page;" fillcolor="#C0C0C0" filled="t" stroked="f" coordsize="21600,21600">
          <v:path/>
          <v:fill on="t" opacity="32768f" focussize="0,0"/>
          <v:stroke on="f"/>
          <v:imagedata o:title=""/>
          <o:lock v:ext="edit" aspectratio="t"/>
          <v:textpath on="t" fitshape="t" fitpath="t" trim="t" xscale="f" string="CHCA中国公路建设行业协会" style="font-family:仿宋_GB2312;font-size:36pt;v-text-align:center;"/>
        </v:shape>
      </w:pict>
    </w:r>
    <w:r>
      <w:rPr>
        <w:rFonts w:hint="eastAsia" w:ascii="黑体" w:hAnsi="黑体" w:eastAsia="黑体" w:cs="黑体"/>
      </w:rPr>
      <w:t>2021年度交通建设“微创新”成果展示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1,3"/>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A0YzgzZDUwZDEwZDU4MzM4M2ZmYmZkYTlmMDVlZGIifQ=="/>
  </w:docVars>
  <w:rsids>
    <w:rsidRoot w:val="44DE38B5"/>
    <w:rsid w:val="00021E83"/>
    <w:rsid w:val="00043670"/>
    <w:rsid w:val="00093C45"/>
    <w:rsid w:val="001627A2"/>
    <w:rsid w:val="00197F0B"/>
    <w:rsid w:val="001A256F"/>
    <w:rsid w:val="003B3330"/>
    <w:rsid w:val="00427FC5"/>
    <w:rsid w:val="004640A1"/>
    <w:rsid w:val="004B63A1"/>
    <w:rsid w:val="00555D43"/>
    <w:rsid w:val="005B097D"/>
    <w:rsid w:val="005E0CA0"/>
    <w:rsid w:val="005F3618"/>
    <w:rsid w:val="00610A23"/>
    <w:rsid w:val="00660419"/>
    <w:rsid w:val="00672F3B"/>
    <w:rsid w:val="00705B58"/>
    <w:rsid w:val="00713B6F"/>
    <w:rsid w:val="007D08B4"/>
    <w:rsid w:val="007F16A2"/>
    <w:rsid w:val="00830977"/>
    <w:rsid w:val="00860090"/>
    <w:rsid w:val="008761EF"/>
    <w:rsid w:val="008B0857"/>
    <w:rsid w:val="008F47C6"/>
    <w:rsid w:val="00931783"/>
    <w:rsid w:val="00956C56"/>
    <w:rsid w:val="00974EC6"/>
    <w:rsid w:val="009C0165"/>
    <w:rsid w:val="00A07CDB"/>
    <w:rsid w:val="00A21FF6"/>
    <w:rsid w:val="00B24049"/>
    <w:rsid w:val="00B51D7D"/>
    <w:rsid w:val="00B56CB9"/>
    <w:rsid w:val="00B6207A"/>
    <w:rsid w:val="00BD7386"/>
    <w:rsid w:val="00BE046C"/>
    <w:rsid w:val="00C378BE"/>
    <w:rsid w:val="00D54810"/>
    <w:rsid w:val="00D54E50"/>
    <w:rsid w:val="00D67BD1"/>
    <w:rsid w:val="00DA0054"/>
    <w:rsid w:val="00E132AA"/>
    <w:rsid w:val="00E47A0D"/>
    <w:rsid w:val="00E55EE4"/>
    <w:rsid w:val="00EA184B"/>
    <w:rsid w:val="00EC6F7F"/>
    <w:rsid w:val="00F125DB"/>
    <w:rsid w:val="00FD4325"/>
    <w:rsid w:val="03A569EC"/>
    <w:rsid w:val="07AA1F88"/>
    <w:rsid w:val="0A96278F"/>
    <w:rsid w:val="0D49663A"/>
    <w:rsid w:val="0D8B43D2"/>
    <w:rsid w:val="0E9B0EE5"/>
    <w:rsid w:val="0F3166BA"/>
    <w:rsid w:val="10D91F69"/>
    <w:rsid w:val="12D009BC"/>
    <w:rsid w:val="143B047A"/>
    <w:rsid w:val="144D6C44"/>
    <w:rsid w:val="164474E4"/>
    <w:rsid w:val="16804FD6"/>
    <w:rsid w:val="1A9116DB"/>
    <w:rsid w:val="1AC32964"/>
    <w:rsid w:val="1B8B65A8"/>
    <w:rsid w:val="1B930E93"/>
    <w:rsid w:val="1B991BC3"/>
    <w:rsid w:val="1BA050D2"/>
    <w:rsid w:val="1D4F301A"/>
    <w:rsid w:val="1F01392E"/>
    <w:rsid w:val="1FF362E9"/>
    <w:rsid w:val="21FC1C07"/>
    <w:rsid w:val="23DA0054"/>
    <w:rsid w:val="240466DC"/>
    <w:rsid w:val="252A4CBA"/>
    <w:rsid w:val="274F6D77"/>
    <w:rsid w:val="281B4728"/>
    <w:rsid w:val="29004B2D"/>
    <w:rsid w:val="2A1942FF"/>
    <w:rsid w:val="2A28776A"/>
    <w:rsid w:val="2BAB03CF"/>
    <w:rsid w:val="2BD43C14"/>
    <w:rsid w:val="2C160718"/>
    <w:rsid w:val="2E4F0C34"/>
    <w:rsid w:val="2FC127BE"/>
    <w:rsid w:val="30D20F4E"/>
    <w:rsid w:val="32F55152"/>
    <w:rsid w:val="33D2657B"/>
    <w:rsid w:val="35431E90"/>
    <w:rsid w:val="35496C49"/>
    <w:rsid w:val="37152903"/>
    <w:rsid w:val="374C7490"/>
    <w:rsid w:val="37DD407E"/>
    <w:rsid w:val="38DE08C5"/>
    <w:rsid w:val="39282A8A"/>
    <w:rsid w:val="393A381B"/>
    <w:rsid w:val="39673D33"/>
    <w:rsid w:val="3AC77F71"/>
    <w:rsid w:val="3BCC0E66"/>
    <w:rsid w:val="3BD34656"/>
    <w:rsid w:val="3E18718B"/>
    <w:rsid w:val="3F92266E"/>
    <w:rsid w:val="401716E8"/>
    <w:rsid w:val="40E574E6"/>
    <w:rsid w:val="41780276"/>
    <w:rsid w:val="42F85996"/>
    <w:rsid w:val="43511AA8"/>
    <w:rsid w:val="43D34118"/>
    <w:rsid w:val="448D0F53"/>
    <w:rsid w:val="44DE38B5"/>
    <w:rsid w:val="46765F73"/>
    <w:rsid w:val="46F9221A"/>
    <w:rsid w:val="47730927"/>
    <w:rsid w:val="47B732C0"/>
    <w:rsid w:val="48EE4383"/>
    <w:rsid w:val="4A41440D"/>
    <w:rsid w:val="4DE1130A"/>
    <w:rsid w:val="4F403202"/>
    <w:rsid w:val="54C61215"/>
    <w:rsid w:val="55D31DB8"/>
    <w:rsid w:val="5709702F"/>
    <w:rsid w:val="5814240D"/>
    <w:rsid w:val="59EC4EE4"/>
    <w:rsid w:val="5B296730"/>
    <w:rsid w:val="5BF161D4"/>
    <w:rsid w:val="5D074DE8"/>
    <w:rsid w:val="5DD031A6"/>
    <w:rsid w:val="5F2B6F1B"/>
    <w:rsid w:val="61B92F94"/>
    <w:rsid w:val="62BD472F"/>
    <w:rsid w:val="63D15422"/>
    <w:rsid w:val="644D659F"/>
    <w:rsid w:val="65906DBA"/>
    <w:rsid w:val="663075FA"/>
    <w:rsid w:val="684725D9"/>
    <w:rsid w:val="692340AF"/>
    <w:rsid w:val="69A179D9"/>
    <w:rsid w:val="69A85122"/>
    <w:rsid w:val="6B4677C2"/>
    <w:rsid w:val="6E08300B"/>
    <w:rsid w:val="703C7978"/>
    <w:rsid w:val="71663954"/>
    <w:rsid w:val="71DB5478"/>
    <w:rsid w:val="71E013C2"/>
    <w:rsid w:val="758374EC"/>
    <w:rsid w:val="7719666B"/>
    <w:rsid w:val="79254F87"/>
    <w:rsid w:val="796F0760"/>
    <w:rsid w:val="7A155EA4"/>
    <w:rsid w:val="7A8A280C"/>
    <w:rsid w:val="7CC4758A"/>
    <w:rsid w:val="7E0043A1"/>
    <w:rsid w:val="7E4530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7">
    <w:name w:val="Default Paragraph Font"/>
    <w:semiHidden/>
    <w:unhideWhenUsed/>
    <w:qFormat/>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2">
    <w:name w:val="Body Text First Indent 2"/>
    <w:basedOn w:val="3"/>
    <w:qFormat/>
    <w:uiPriority w:val="0"/>
    <w:pPr>
      <w:ind w:firstLine="420" w:firstLineChars="200"/>
    </w:pPr>
  </w:style>
  <w:style w:type="paragraph" w:styleId="3">
    <w:name w:val="Body Text Indent"/>
    <w:basedOn w:val="1"/>
    <w:qFormat/>
    <w:uiPriority w:val="0"/>
    <w:pPr>
      <w:spacing w:after="120"/>
      <w:ind w:left="420" w:leftChars="200"/>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3.png"/><Relationship Id="rId17" Type="http://schemas.openxmlformats.org/officeDocument/2006/relationships/image" Target="media/image12.jpe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3073"/>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3089</Words>
  <Characters>3208</Characters>
  <Lines>25</Lines>
  <Paragraphs>7</Paragraphs>
  <TotalTime>2</TotalTime>
  <ScaleCrop>false</ScaleCrop>
  <LinksUpToDate>false</LinksUpToDate>
  <CharactersWithSpaces>3287</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2022-09-06T04:04:00Z</dcterms:created>
  <dc:creator>anda</dc:creator>
  <cp:lastModifiedBy>叫一声  佛祖</cp:lastModifiedBy>
  <dcterms:modified xsi:type="dcterms:W3CDTF">2022-10-17T08:32:46Z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0E401E2A32414DBB83094D62FBB6E074</vt:lpwstr>
  </property>
</Properties>
</file>