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napToGrid w:val="0"/>
        <w:spacing w:line="288" w:lineRule="auto"/>
        <w:rPr>
          <w:rFonts w:ascii="宋体" w:hAnsi="宋体" w:eastAsia="宋体" w:cs="宋体"/>
          <w:b/>
          <w:bCs/>
          <w:color w:val="000000"/>
          <w:sz w:val="21"/>
          <w:szCs w:val="21"/>
        </w:rPr>
      </w:pPr>
    </w:p>
    <w:p>
      <w:pPr>
        <w:snapToGrid w:val="0"/>
        <w:spacing w:line="288" w:lineRule="auto"/>
        <w:rPr>
          <w:rFonts w:ascii="宋体" w:hAnsi="宋体" w:eastAsia="宋体" w:cs="宋体"/>
          <w:color w:val="000000"/>
          <w:sz w:val="21"/>
          <w:szCs w:val="21"/>
        </w:rPr>
      </w:pPr>
      <w:r>
        <w:rPr>
          <w:rFonts w:hint="eastAsia" w:ascii="宋体" w:hAnsi="宋体" w:eastAsia="宋体" w:cs="宋体"/>
          <w:b/>
          <w:bCs/>
          <w:color w:val="000000"/>
          <w:sz w:val="21"/>
          <w:szCs w:val="21"/>
        </w:rPr>
        <w:t>[类  型]</w:t>
      </w:r>
      <w:r>
        <w:rPr>
          <w:rFonts w:hint="eastAsia" w:ascii="宋体" w:hAnsi="宋体" w:eastAsia="宋体" w:cs="宋体"/>
          <w:color w:val="000000"/>
          <w:sz w:val="21"/>
          <w:szCs w:val="21"/>
        </w:rPr>
        <w:t>机具设备微改造</w:t>
      </w:r>
    </w:p>
    <w:p>
      <w:pPr>
        <w:snapToGrid w:val="0"/>
        <w:spacing w:line="288" w:lineRule="auto"/>
        <w:rPr>
          <w:rFonts w:ascii="宋体" w:hAnsi="宋体" w:eastAsia="宋体" w:cs="宋体"/>
          <w:color w:val="000000"/>
          <w:sz w:val="21"/>
          <w:szCs w:val="21"/>
        </w:rPr>
      </w:pPr>
      <w:r>
        <w:rPr>
          <w:rFonts w:hint="eastAsia" w:ascii="宋体" w:hAnsi="宋体" w:eastAsia="宋体" w:cs="宋体"/>
          <w:b/>
          <w:bCs/>
          <w:color w:val="000000"/>
          <w:sz w:val="21"/>
          <w:szCs w:val="21"/>
        </w:rPr>
        <w:t>[关键词]</w:t>
      </w:r>
      <w:r>
        <w:rPr>
          <w:rFonts w:hint="eastAsia" w:ascii="宋体" w:hAnsi="宋体" w:eastAsia="宋体" w:cs="宋体"/>
          <w:color w:val="000000"/>
          <w:sz w:val="21"/>
          <w:szCs w:val="21"/>
        </w:rPr>
        <w:t>隧道，开挖，可折叠</w:t>
      </w:r>
    </w:p>
    <w:p>
      <w:pPr>
        <w:snapToGrid w:val="0"/>
        <w:rPr>
          <w:rFonts w:ascii="方正小标宋简体" w:hAnsi="方正小标宋简体" w:eastAsia="方正小标宋简体" w:cs="方正小标宋简体"/>
          <w:color w:val="000000"/>
          <w:sz w:val="21"/>
          <w:szCs w:val="21"/>
        </w:rPr>
      </w:pPr>
    </w:p>
    <w:p>
      <w:pPr>
        <w:spacing w:before="156" w:beforeLines="50" w:after="156" w:afterLines="50"/>
        <w:jc w:val="center"/>
        <w:rPr>
          <w:rFonts w:ascii="方正小标宋简体" w:hAnsi="方正小标宋简体" w:eastAsia="方正小标宋简体" w:cs="方正小标宋简体"/>
          <w:color w:val="000000"/>
          <w:szCs w:val="32"/>
        </w:rPr>
      </w:pPr>
      <w:r>
        <w:rPr>
          <w:rFonts w:hint="eastAsia" w:ascii="方正小标宋简体" w:hAnsi="方正小标宋简体" w:eastAsia="方正小标宋简体" w:cs="方正小标宋简体"/>
          <w:color w:val="000000"/>
          <w:szCs w:val="32"/>
        </w:rPr>
        <w:t>台架中部可折叠钻孔平台</w:t>
      </w:r>
    </w:p>
    <w:p>
      <w:pPr>
        <w:spacing w:before="156" w:beforeLines="50"/>
        <w:jc w:val="center"/>
        <w:rPr>
          <w:sz w:val="24"/>
        </w:rPr>
      </w:pPr>
      <w:r>
        <w:rPr>
          <w:rFonts w:hint="eastAsia"/>
          <w:sz w:val="24"/>
        </w:rPr>
        <w:t>JWC202</w:t>
      </w:r>
      <w:r>
        <w:rPr>
          <w:rFonts w:hint="eastAsia"/>
          <w:sz w:val="24"/>
          <w:lang w:val="en-US" w:eastAsia="zh-CN"/>
        </w:rPr>
        <w:t>1-075</w:t>
      </w:r>
    </w:p>
    <w:p>
      <w:pPr>
        <w:spacing w:before="156" w:beforeLines="50"/>
        <w:jc w:val="center"/>
        <w:rPr>
          <w:rFonts w:ascii="黑体" w:hAnsi="黑体" w:eastAsia="黑体" w:cs="黑体"/>
          <w:sz w:val="24"/>
        </w:rPr>
      </w:pPr>
      <w:r>
        <w:rPr>
          <w:rFonts w:hint="eastAsia" w:ascii="黑体" w:hAnsi="黑体" w:eastAsia="黑体" w:cs="黑体"/>
          <w:sz w:val="24"/>
        </w:rPr>
        <w:t>中交中南工程局有限公</w:t>
      </w:r>
      <w:bookmarkStart w:id="0" w:name="_GoBack"/>
      <w:bookmarkEnd w:id="0"/>
      <w:r>
        <w:rPr>
          <w:rFonts w:hint="eastAsia" w:ascii="黑体" w:hAnsi="黑体" w:eastAsia="黑体" w:cs="黑体"/>
          <w:sz w:val="24"/>
        </w:rPr>
        <w:t>司</w:t>
      </w:r>
    </w:p>
    <w:p>
      <w:pPr>
        <w:spacing w:before="156" w:beforeLines="50"/>
        <w:jc w:val="center"/>
        <w:rPr>
          <w:sz w:val="24"/>
        </w:rPr>
      </w:pPr>
      <w:r>
        <w:rPr>
          <w:rFonts w:hint="eastAsia"/>
          <w:sz w:val="24"/>
        </w:rPr>
        <w:t>卢江华、王学增</w:t>
      </w:r>
      <w:r>
        <w:rPr>
          <w:rFonts w:hint="eastAsia"/>
          <w:sz w:val="24"/>
          <w:lang w:eastAsia="zh-CN"/>
        </w:rPr>
        <w:t>、</w:t>
      </w:r>
      <w:r>
        <w:rPr>
          <w:rFonts w:hint="eastAsia"/>
          <w:sz w:val="24"/>
        </w:rPr>
        <w:t>刘杨</w:t>
      </w:r>
      <w:r>
        <w:rPr>
          <w:rFonts w:hint="eastAsia"/>
          <w:sz w:val="24"/>
          <w:lang w:eastAsia="zh-CN"/>
        </w:rPr>
        <w:t>、</w:t>
      </w:r>
      <w:r>
        <w:rPr>
          <w:rFonts w:hint="eastAsia"/>
          <w:sz w:val="24"/>
        </w:rPr>
        <w:t>周书海</w:t>
      </w:r>
      <w:r>
        <w:rPr>
          <w:rFonts w:hint="eastAsia"/>
          <w:sz w:val="24"/>
          <w:lang w:eastAsia="zh-CN"/>
        </w:rPr>
        <w:t>、</w:t>
      </w:r>
      <w:r>
        <w:rPr>
          <w:rFonts w:hint="eastAsia"/>
          <w:sz w:val="24"/>
        </w:rPr>
        <w:t>姚固吉</w:t>
      </w:r>
      <w:r>
        <w:rPr>
          <w:rFonts w:hint="eastAsia"/>
          <w:sz w:val="24"/>
          <w:lang w:eastAsia="zh-CN"/>
        </w:rPr>
        <w:t>、</w:t>
      </w:r>
      <w:r>
        <w:rPr>
          <w:rFonts w:hint="eastAsia"/>
          <w:sz w:val="24"/>
        </w:rPr>
        <w:t>黄珍燕</w:t>
      </w:r>
    </w:p>
    <w:p>
      <w:pPr>
        <w:keepNext w:val="0"/>
        <w:keepLines w:val="0"/>
        <w:pageBreakBefore w:val="0"/>
        <w:widowControl w:val="0"/>
        <w:kinsoku/>
        <w:wordWrap/>
        <w:overflowPunct/>
        <w:topLinePunct w:val="0"/>
        <w:autoSpaceDE/>
        <w:autoSpaceDN/>
        <w:bidi w:val="0"/>
        <w:adjustRightInd/>
        <w:snapToGrid/>
        <w:spacing w:before="157" w:beforeLines="50" w:line="240" w:lineRule="auto"/>
        <w:jc w:val="center"/>
        <w:textAlignment w:val="auto"/>
        <w:rPr>
          <w:rFonts w:hint="eastAsia"/>
          <w:sz w:val="24"/>
          <w:lang w:val="en-US" w:eastAsia="zh-CN"/>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center"/>
        <w:textAlignment w:val="auto"/>
        <w:rPr>
          <w:rFonts w:hint="default" w:ascii="黑体" w:hAnsi="黑体" w:eastAsia="黑体" w:cs="黑体"/>
          <w:b/>
          <w:bCs/>
          <w:color w:val="002060"/>
          <w:sz w:val="24"/>
          <w:szCs w:val="24"/>
          <w:lang w:val="en-US" w:eastAsia="zh-CN"/>
        </w:rPr>
      </w:pPr>
      <w:r>
        <w:rPr>
          <w:rFonts w:hint="eastAsia" w:ascii="黑体" w:hAnsi="黑体" w:eastAsia="黑体" w:cs="黑体"/>
          <w:b/>
          <w:bCs/>
          <w:color w:val="002060"/>
          <w:sz w:val="24"/>
          <w:szCs w:val="24"/>
          <w:lang w:val="en-US" w:eastAsia="zh-CN"/>
        </w:rPr>
        <w:t>1.成果简介</w:t>
      </w:r>
    </w:p>
    <w:p>
      <w:pPr>
        <w:spacing w:line="312" w:lineRule="auto"/>
        <w:ind w:firstLine="442" w:firstLineChars="200"/>
        <w:outlineLvl w:val="1"/>
        <w:rPr>
          <w:rFonts w:ascii="宋体" w:hAnsi="宋体" w:eastAsia="宋体" w:cs="宋体"/>
          <w:b/>
          <w:bCs/>
          <w:sz w:val="22"/>
          <w:szCs w:val="22"/>
        </w:rPr>
      </w:pPr>
      <w:r>
        <w:rPr>
          <w:rFonts w:hint="eastAsia" w:ascii="宋体" w:hAnsi="宋体" w:eastAsia="宋体" w:cs="宋体"/>
          <w:b/>
          <w:bCs/>
          <w:sz w:val="22"/>
          <w:szCs w:val="22"/>
        </w:rPr>
        <w:t>1.1技术背景</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隧道施工过程中隧道施工台架是一种为了方便开挖、支护、防水板等工序的装置。但施工台架的使用具有一定的局限性，例如活动性较差、架空层不可调节等。在实际工程中易出现大断面隧道中台架中部没有合适施工位置，从而导致无法准确按照设计计划进行施工的结果。在开挖钻孔时会增加超欠挖现象的发生，增加了施工成本也延误了工期。</w:t>
      </w:r>
    </w:p>
    <w:p>
      <w:pPr>
        <w:spacing w:line="312" w:lineRule="auto"/>
        <w:ind w:firstLine="442" w:firstLineChars="200"/>
        <w:outlineLvl w:val="1"/>
        <w:rPr>
          <w:rFonts w:ascii="宋体" w:hAnsi="宋体" w:eastAsia="宋体" w:cs="宋体"/>
          <w:b/>
          <w:bCs/>
          <w:sz w:val="22"/>
          <w:szCs w:val="22"/>
        </w:rPr>
      </w:pPr>
      <w:r>
        <w:rPr>
          <w:rFonts w:hint="eastAsia" w:ascii="宋体" w:hAnsi="宋体" w:eastAsia="宋体" w:cs="宋体"/>
          <w:b/>
          <w:bCs/>
          <w:sz w:val="22"/>
          <w:szCs w:val="22"/>
        </w:rPr>
        <w:t>1.2解决的主要问题</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w:t>
      </w:r>
      <w:r>
        <w:rPr>
          <w:rFonts w:ascii="宋体" w:hAnsi="宋体" w:eastAsia="宋体" w:cs="宋体"/>
          <w:sz w:val="22"/>
          <w:szCs w:val="22"/>
        </w:rPr>
        <w:t>1</w:t>
      </w:r>
      <w:r>
        <w:rPr>
          <w:rFonts w:hint="eastAsia" w:ascii="宋体" w:hAnsi="宋体" w:eastAsia="宋体" w:cs="宋体"/>
          <w:sz w:val="22"/>
          <w:szCs w:val="22"/>
        </w:rPr>
        <w:t>）解决了大断面隧道钻爆法开挖台架中部缺失施工平台的问题；</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w:t>
      </w:r>
      <w:r>
        <w:rPr>
          <w:rFonts w:ascii="宋体" w:hAnsi="宋体" w:eastAsia="宋体" w:cs="宋体"/>
          <w:sz w:val="22"/>
          <w:szCs w:val="22"/>
        </w:rPr>
        <w:t>2</w:t>
      </w:r>
      <w:r>
        <w:rPr>
          <w:rFonts w:hint="eastAsia" w:ascii="宋体" w:hAnsi="宋体" w:eastAsia="宋体" w:cs="宋体"/>
          <w:sz w:val="22"/>
          <w:szCs w:val="22"/>
        </w:rPr>
        <w:t>）解决现有隧道钻孔施工时大断面隧道中台架中部没有合适施工位置导致钻孔位置出现偏差的问题；</w:t>
      </w:r>
    </w:p>
    <w:p>
      <w:pPr>
        <w:spacing w:line="312" w:lineRule="auto"/>
        <w:ind w:firstLine="440" w:firstLineChars="200"/>
        <w:rPr>
          <w:rFonts w:hint="eastAsia" w:ascii="宋体" w:hAnsi="宋体" w:eastAsia="宋体" w:cs="宋体"/>
          <w:sz w:val="22"/>
          <w:szCs w:val="22"/>
        </w:rPr>
      </w:pPr>
      <w:r>
        <w:rPr>
          <w:rFonts w:hint="eastAsia" w:ascii="宋体" w:hAnsi="宋体" w:eastAsia="宋体" w:cs="宋体"/>
          <w:sz w:val="22"/>
          <w:szCs w:val="22"/>
        </w:rPr>
        <w:t>（3）解决了大断面隧道中部掏槽眼难以施工、导致爆破效果差的问题。</w:t>
      </w:r>
    </w:p>
    <w:p>
      <w:pPr>
        <w:spacing w:line="312" w:lineRule="auto"/>
        <w:ind w:firstLine="442" w:firstLineChars="200"/>
        <w:outlineLvl w:val="1"/>
        <w:rPr>
          <w:rFonts w:ascii="宋体" w:hAnsi="宋体" w:eastAsia="宋体" w:cs="宋体"/>
          <w:b/>
          <w:bCs/>
          <w:sz w:val="22"/>
          <w:szCs w:val="22"/>
        </w:rPr>
      </w:pPr>
      <w:r>
        <w:rPr>
          <w:rFonts w:hint="eastAsia" w:ascii="宋体" w:hAnsi="宋体" w:eastAsia="宋体" w:cs="宋体"/>
          <w:b/>
          <w:bCs/>
          <w:sz w:val="22"/>
          <w:szCs w:val="22"/>
        </w:rPr>
        <w:t>1.3适用范围</w:t>
      </w:r>
    </w:p>
    <w:p>
      <w:pPr>
        <w:spacing w:line="312" w:lineRule="auto"/>
        <w:ind w:firstLine="440" w:firstLineChars="200"/>
        <w:rPr>
          <w:rFonts w:ascii="宋体" w:hAnsi="宋体" w:eastAsia="宋体" w:cs="宋体"/>
          <w:sz w:val="22"/>
          <w:szCs w:val="22"/>
        </w:rPr>
      </w:pPr>
      <w:r>
        <w:rPr>
          <w:rFonts w:hint="eastAsia" w:ascii="宋体" w:hAnsi="宋体" w:eastAsia="宋体" w:cs="宋体"/>
          <w:color w:val="000000"/>
          <w:sz w:val="22"/>
          <w:szCs w:val="22"/>
        </w:rPr>
        <w:t>适用于钻爆法施工的隧道工程，尤其针对于大断面隧道钻爆法施工开挖台架适应性差等问题。</w:t>
      </w:r>
    </w:p>
    <w:p>
      <w:pPr>
        <w:spacing w:line="312" w:lineRule="auto"/>
        <w:ind w:firstLine="442" w:firstLineChars="200"/>
        <w:outlineLvl w:val="1"/>
        <w:rPr>
          <w:rFonts w:ascii="宋体" w:hAnsi="宋体" w:eastAsia="宋体" w:cs="宋体"/>
          <w:b/>
          <w:bCs/>
          <w:sz w:val="22"/>
          <w:szCs w:val="22"/>
        </w:rPr>
      </w:pPr>
      <w:r>
        <w:rPr>
          <w:rFonts w:hint="eastAsia" w:ascii="宋体" w:hAnsi="宋体" w:eastAsia="宋体" w:cs="宋体"/>
          <w:b/>
          <w:bCs/>
          <w:sz w:val="22"/>
          <w:szCs w:val="22"/>
        </w:rPr>
        <w:t>1.4技术特点</w:t>
      </w:r>
    </w:p>
    <w:p>
      <w:pPr>
        <w:spacing w:line="312" w:lineRule="auto"/>
        <w:ind w:firstLine="440" w:firstLineChars="200"/>
        <w:rPr>
          <w:rFonts w:hint="eastAsia" w:ascii="宋体" w:hAnsi="宋体" w:eastAsia="宋体" w:cs="宋体"/>
          <w:sz w:val="22"/>
          <w:szCs w:val="22"/>
        </w:rPr>
      </w:pPr>
      <w:r>
        <w:rPr>
          <w:rFonts w:hint="eastAsia" w:ascii="宋体" w:hAnsi="宋体" w:eastAsia="宋体" w:cs="宋体"/>
          <w:sz w:val="22"/>
          <w:szCs w:val="22"/>
        </w:rPr>
        <w:t>（1）可以折叠，不会占用太大空间。</w:t>
      </w:r>
    </w:p>
    <w:p>
      <w:pPr>
        <w:spacing w:line="312" w:lineRule="auto"/>
        <w:ind w:firstLine="440" w:firstLineChars="200"/>
        <w:rPr>
          <w:rFonts w:hint="eastAsia" w:ascii="宋体" w:hAnsi="宋体" w:eastAsia="宋体" w:cs="宋体"/>
          <w:sz w:val="22"/>
          <w:szCs w:val="22"/>
        </w:rPr>
      </w:pPr>
      <w:r>
        <w:rPr>
          <w:rFonts w:hint="eastAsia" w:ascii="宋体" w:hAnsi="宋体" w:eastAsia="宋体" w:cs="宋体"/>
          <w:sz w:val="22"/>
          <w:szCs w:val="22"/>
        </w:rPr>
        <w:t>（2）可以提供合适的钻孔位置，避免掏槽眼间距过大的现象，减少超欠挖现象的发生。</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（3）增加中部可折叠钻孔平台后结构更趋于稳定，支撑更加牢固，增加施工安全性。</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w:t>
      </w:r>
      <w:r>
        <w:rPr>
          <w:rFonts w:ascii="宋体" w:hAnsi="宋体" w:eastAsia="宋体" w:cs="宋体"/>
          <w:sz w:val="22"/>
          <w:szCs w:val="22"/>
        </w:rPr>
        <w:t>4</w:t>
      </w:r>
      <w:r>
        <w:rPr>
          <w:rFonts w:hint="eastAsia" w:ascii="宋体" w:hAnsi="宋体" w:eastAsia="宋体" w:cs="宋体"/>
          <w:sz w:val="22"/>
          <w:szCs w:val="22"/>
        </w:rPr>
        <w:t>）该设备可减少超挖量8</w:t>
      </w:r>
      <w:r>
        <w:rPr>
          <w:rFonts w:ascii="宋体" w:hAnsi="宋体" w:eastAsia="宋体" w:cs="宋体"/>
          <w:sz w:val="22"/>
          <w:szCs w:val="22"/>
        </w:rPr>
        <w:t>0</w:t>
      </w:r>
      <w:r>
        <w:rPr>
          <w:rFonts w:hint="eastAsia" w:ascii="宋体" w:hAnsi="宋体" w:eastAsia="宋体" w:cs="宋体"/>
          <w:sz w:val="22"/>
          <w:szCs w:val="22"/>
        </w:rPr>
        <w:t>%，每延米减少混凝土回填量7</w:t>
      </w:r>
      <w:r>
        <w:rPr>
          <w:rFonts w:ascii="宋体" w:hAnsi="宋体" w:eastAsia="宋体" w:cs="宋体"/>
          <w:sz w:val="22"/>
          <w:szCs w:val="22"/>
        </w:rPr>
        <w:t>.3m³</w:t>
      </w:r>
      <w:r>
        <w:rPr>
          <w:rFonts w:hint="eastAsia" w:ascii="宋体" w:hAnsi="宋体" w:eastAsia="宋体" w:cs="宋体"/>
          <w:sz w:val="22"/>
          <w:szCs w:val="22"/>
        </w:rPr>
        <w:t>，经济效益越明显。</w:t>
      </w:r>
    </w:p>
    <w:p>
      <w:pPr>
        <w:spacing w:line="312" w:lineRule="auto"/>
        <w:jc w:val="center"/>
        <w:rPr>
          <w:rFonts w:ascii="宋体" w:hAnsi="宋体" w:eastAsia="宋体" w:cs="宋体"/>
          <w:sz w:val="22"/>
          <w:szCs w:val="22"/>
        </w:rPr>
      </w:pPr>
      <w:r>
        <w:rPr>
          <w:rFonts w:ascii="宋体" w:hAnsi="宋体" w:eastAsia="宋体" w:cs="宋体"/>
          <w:sz w:val="22"/>
          <w:szCs w:val="22"/>
        </w:rPr>
        <w:drawing>
          <wp:inline distT="0" distB="0" distL="0" distR="0">
            <wp:extent cx="3628390" cy="2966720"/>
            <wp:effectExtent l="0" t="0" r="0" b="508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3630208" cy="2968427"/>
                    </a:xfrm>
                    <a:prstGeom prst="rect">
                      <a:avLst/>
                    </a:prstGeom>
                    <a:noFill/>
                    <a:ln>
                      <a:noFill/>
                    </a:ln>
                    <a:effectLst/>
                  </pic:spPr>
                </pic:pic>
              </a:graphicData>
            </a:graphic>
          </wp:inline>
        </w:drawing>
      </w:r>
    </w:p>
    <w:p>
      <w:pPr>
        <w:spacing w:line="312" w:lineRule="auto"/>
        <w:jc w:val="center"/>
        <w:rPr>
          <w:rFonts w:ascii="宋体" w:hAnsi="宋体" w:eastAsia="宋体" w:cs="宋体"/>
          <w:b/>
          <w:bCs/>
          <w:sz w:val="22"/>
          <w:szCs w:val="22"/>
        </w:rPr>
      </w:pPr>
      <w:r>
        <w:rPr>
          <w:rFonts w:hint="eastAsia" w:ascii="宋体" w:hAnsi="宋体" w:eastAsia="宋体" w:cs="宋体"/>
          <w:b/>
          <w:bCs/>
          <w:sz w:val="22"/>
          <w:szCs w:val="22"/>
        </w:rPr>
        <w:t>图1 模型图</w:t>
      </w:r>
    </w:p>
    <w:p>
      <w:pPr>
        <w:spacing w:before="156" w:beforeLines="50" w:after="156" w:afterLines="50" w:line="360" w:lineRule="auto"/>
        <w:jc w:val="center"/>
        <w:rPr>
          <w:rFonts w:ascii="黑体" w:hAnsi="黑体" w:eastAsia="黑体" w:cs="黑体"/>
          <w:b/>
          <w:bCs/>
          <w:color w:val="002060"/>
          <w:sz w:val="24"/>
        </w:rPr>
      </w:pPr>
      <w:r>
        <w:rPr>
          <w:rFonts w:hint="eastAsia" w:ascii="黑体" w:hAnsi="黑体" w:eastAsia="黑体" w:cs="黑体"/>
          <w:b/>
          <w:bCs/>
          <w:color w:val="002060"/>
          <w:sz w:val="24"/>
        </w:rPr>
        <w:t>2.技术内容</w:t>
      </w:r>
    </w:p>
    <w:p>
      <w:pPr>
        <w:spacing w:line="312" w:lineRule="auto"/>
        <w:ind w:firstLine="442" w:firstLineChars="200"/>
        <w:outlineLvl w:val="1"/>
        <w:rPr>
          <w:rFonts w:ascii="宋体" w:hAnsi="宋体" w:eastAsia="宋体" w:cs="宋体"/>
          <w:b/>
          <w:bCs/>
          <w:sz w:val="22"/>
          <w:szCs w:val="22"/>
        </w:rPr>
      </w:pPr>
      <w:r>
        <w:rPr>
          <w:rFonts w:hint="eastAsia" w:ascii="宋体" w:hAnsi="宋体" w:eastAsia="宋体" w:cs="宋体"/>
          <w:b/>
          <w:bCs/>
          <w:sz w:val="22"/>
          <w:szCs w:val="22"/>
        </w:rPr>
        <w:t>2.1技术原理</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该装置包括由顶部方框和其两侧的竖直杆构成的门框式结构，顶部方框内设至少两根横杆或纵杆，两侧竖直杆之间设有纵杆和供施工人员上下的梯子，两侧竖直杆和顶部框架内横、纵杆设有斜撑，以便提高主体框架强度，台架中部设置外附式钻孔平台，该平台不用时通过轴承依附于斜撑上。</w:t>
      </w:r>
    </w:p>
    <w:p>
      <w:pPr>
        <w:spacing w:line="312" w:lineRule="auto"/>
        <w:jc w:val="center"/>
        <w:rPr>
          <w:rFonts w:ascii="宋体" w:hAnsi="宋体" w:eastAsia="宋体" w:cs="宋体"/>
          <w:b/>
          <w:bCs/>
          <w:sz w:val="22"/>
          <w:szCs w:val="22"/>
        </w:rPr>
      </w:pPr>
      <w:r>
        <w:rPr>
          <w:rFonts w:ascii="宋体" w:hAnsi="宋体" w:eastAsia="宋体" w:cs="宋体"/>
          <w:b/>
          <w:bCs/>
          <w:sz w:val="22"/>
          <w:szCs w:val="22"/>
        </w:rPr>
        <w:drawing>
          <wp:inline distT="0" distB="0" distL="0" distR="0">
            <wp:extent cx="2909570" cy="1974215"/>
            <wp:effectExtent l="0" t="0" r="5080" b="698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2909570" cy="1974215"/>
                    </a:xfrm>
                    <a:prstGeom prst="rect">
                      <a:avLst/>
                    </a:prstGeom>
                    <a:noFill/>
                    <a:ln>
                      <a:noFill/>
                    </a:ln>
                    <a:effectLst/>
                  </pic:spPr>
                </pic:pic>
              </a:graphicData>
            </a:graphic>
          </wp:inline>
        </w:drawing>
      </w:r>
    </w:p>
    <w:p>
      <w:pPr>
        <w:spacing w:line="312" w:lineRule="auto"/>
        <w:jc w:val="center"/>
        <w:rPr>
          <w:rFonts w:hint="eastAsia" w:ascii="宋体" w:hAnsi="宋体" w:eastAsia="宋体" w:cs="宋体"/>
          <w:b/>
          <w:bCs/>
          <w:sz w:val="22"/>
          <w:szCs w:val="22"/>
        </w:rPr>
      </w:pPr>
      <w:r>
        <w:rPr>
          <w:rFonts w:hint="eastAsia" w:ascii="宋体" w:hAnsi="宋体" w:eastAsia="宋体" w:cs="宋体"/>
          <w:b/>
          <w:bCs/>
          <w:sz w:val="22"/>
          <w:szCs w:val="22"/>
        </w:rPr>
        <w:t>图2 台架折叠示意图</w:t>
      </w:r>
    </w:p>
    <w:p>
      <w:pPr>
        <w:spacing w:line="312" w:lineRule="auto"/>
        <w:ind w:firstLine="442" w:firstLineChars="200"/>
        <w:outlineLvl w:val="1"/>
        <w:rPr>
          <w:rFonts w:ascii="宋体" w:hAnsi="宋体" w:eastAsia="宋体" w:cs="宋体"/>
          <w:b/>
          <w:bCs/>
          <w:sz w:val="22"/>
          <w:szCs w:val="22"/>
        </w:rPr>
      </w:pPr>
      <w:r>
        <w:rPr>
          <w:rFonts w:hint="eastAsia" w:ascii="宋体" w:hAnsi="宋体" w:eastAsia="宋体" w:cs="宋体"/>
          <w:b/>
          <w:bCs/>
          <w:sz w:val="22"/>
          <w:szCs w:val="22"/>
        </w:rPr>
        <w:t>2.2结构特点</w:t>
      </w:r>
    </w:p>
    <w:p>
      <w:pPr>
        <w:spacing w:line="312" w:lineRule="auto"/>
        <w:ind w:firstLine="440" w:firstLineChars="200"/>
        <w:rPr>
          <w:rFonts w:ascii="宋体" w:hAnsi="宋体" w:eastAsia="宋体" w:cs="宋体"/>
          <w:sz w:val="22"/>
          <w:szCs w:val="22"/>
        </w:rPr>
      </w:pPr>
      <w:r>
        <w:rPr>
          <w:rFonts w:ascii="宋体" w:hAnsi="宋体" w:eastAsia="宋体" w:cs="宋体"/>
          <w:sz w:val="22"/>
          <w:szCs w:val="22"/>
        </w:rPr>
        <w:t>台架中部可折叠钻孔平台</w:t>
      </w:r>
      <w:r>
        <w:rPr>
          <w:rFonts w:hint="eastAsia" w:ascii="宋体" w:hAnsi="宋体" w:eastAsia="宋体" w:cs="宋体"/>
          <w:sz w:val="22"/>
          <w:szCs w:val="22"/>
        </w:rPr>
        <w:t>由整体框架和外附式</w:t>
      </w:r>
      <w:r>
        <w:rPr>
          <w:rFonts w:ascii="宋体" w:hAnsi="宋体" w:eastAsia="宋体" w:cs="宋体"/>
          <w:sz w:val="22"/>
          <w:szCs w:val="22"/>
        </w:rPr>
        <w:t>钻孔平台组成</w:t>
      </w:r>
      <w:r>
        <w:rPr>
          <w:rFonts w:hint="eastAsia" w:ascii="宋体" w:hAnsi="宋体" w:eastAsia="宋体" w:cs="宋体"/>
          <w:sz w:val="22"/>
          <w:szCs w:val="22"/>
        </w:rPr>
        <w:t>。</w:t>
      </w:r>
    </w:p>
    <w:p>
      <w:pPr>
        <w:spacing w:line="312" w:lineRule="auto"/>
        <w:ind w:firstLine="440" w:firstLineChars="200"/>
        <w:rPr>
          <w:rFonts w:hint="eastAsia" w:ascii="宋体" w:hAnsi="宋体" w:eastAsia="宋体" w:cs="宋体"/>
          <w:sz w:val="22"/>
          <w:szCs w:val="22"/>
        </w:rPr>
      </w:pPr>
      <w:r>
        <w:rPr>
          <w:rFonts w:ascii="宋体" w:hAnsi="宋体" w:eastAsia="宋体" w:cs="宋体"/>
          <w:sz w:val="22"/>
          <w:szCs w:val="22"/>
        </w:rPr>
        <w:t>该装置整体框架为顶部方框和其两侧的竖直杆构成的门框式结构，顶部方框内设至少两根横杆或纵杆，两侧竖直杆之间设有纵杆和供施工人员上下的梯子</w:t>
      </w:r>
      <w:r>
        <w:rPr>
          <w:rFonts w:hint="eastAsia" w:ascii="宋体" w:hAnsi="宋体" w:eastAsia="宋体" w:cs="宋体"/>
          <w:sz w:val="22"/>
          <w:szCs w:val="22"/>
        </w:rPr>
        <w:t>，</w:t>
      </w:r>
      <w:r>
        <w:rPr>
          <w:rFonts w:ascii="宋体" w:hAnsi="宋体" w:eastAsia="宋体" w:cs="宋体"/>
          <w:sz w:val="22"/>
          <w:szCs w:val="22"/>
        </w:rPr>
        <w:t>两侧竖直杆和顶部框架内横、纵杆设有斜撑，以便提高主体框架强度。开挖台架主要采用I20b工字钢作为主骨架，两侧平台采用I18工字钢。站人平台满铺钢筋网，钢筋网主骨架采用φ22钢筋，其余采用φ8钢筋，网眼间距10*10cm。</w:t>
      </w:r>
    </w:p>
    <w:p>
      <w:pPr>
        <w:spacing w:line="312" w:lineRule="auto"/>
        <w:ind w:firstLine="440" w:firstLineChars="200"/>
        <w:rPr>
          <w:rFonts w:hint="eastAsia" w:ascii="宋体" w:hAnsi="宋体" w:eastAsia="宋体" w:cs="宋体"/>
          <w:sz w:val="22"/>
          <w:szCs w:val="22"/>
        </w:rPr>
      </w:pPr>
      <w:r>
        <w:rPr>
          <w:rFonts w:hint="eastAsia" w:ascii="宋体" w:hAnsi="宋体" w:eastAsia="宋体" w:cs="宋体"/>
          <w:sz w:val="22"/>
          <w:szCs w:val="22"/>
        </w:rPr>
        <w:t>外附式</w:t>
      </w:r>
      <w:r>
        <w:rPr>
          <w:rFonts w:ascii="宋体" w:hAnsi="宋体" w:eastAsia="宋体" w:cs="宋体"/>
          <w:sz w:val="22"/>
          <w:szCs w:val="22"/>
        </w:rPr>
        <w:t>钻孔平台</w:t>
      </w:r>
      <w:r>
        <w:rPr>
          <w:rFonts w:hint="eastAsia" w:ascii="宋体" w:hAnsi="宋体" w:eastAsia="宋体" w:cs="宋体"/>
          <w:sz w:val="22"/>
          <w:szCs w:val="22"/>
        </w:rPr>
        <w:t>采用</w:t>
      </w:r>
      <w:r>
        <w:rPr>
          <w:rFonts w:ascii="宋体" w:hAnsi="宋体" w:eastAsia="宋体" w:cs="宋体"/>
          <w:sz w:val="22"/>
          <w:szCs w:val="22"/>
        </w:rPr>
        <w:t>I18工字钢制作</w:t>
      </w:r>
      <w:r>
        <w:rPr>
          <w:rFonts w:hint="eastAsia" w:ascii="宋体" w:hAnsi="宋体" w:eastAsia="宋体" w:cs="宋体"/>
          <w:sz w:val="22"/>
          <w:szCs w:val="22"/>
        </w:rPr>
        <w:t>，</w:t>
      </w:r>
      <w:r>
        <w:rPr>
          <w:rFonts w:ascii="宋体" w:hAnsi="宋体" w:eastAsia="宋体" w:cs="宋体"/>
          <w:sz w:val="22"/>
          <w:szCs w:val="22"/>
        </w:rPr>
        <w:t>平台与台架交接处设置轴承</w:t>
      </w:r>
      <w:r>
        <w:rPr>
          <w:rFonts w:hint="eastAsia" w:ascii="宋体" w:hAnsi="宋体" w:eastAsia="宋体" w:cs="宋体"/>
          <w:sz w:val="22"/>
          <w:szCs w:val="22"/>
        </w:rPr>
        <w:t>，</w:t>
      </w:r>
      <w:r>
        <w:rPr>
          <w:rFonts w:ascii="宋体" w:hAnsi="宋体" w:eastAsia="宋体" w:cs="宋体"/>
          <w:sz w:val="22"/>
          <w:szCs w:val="22"/>
        </w:rPr>
        <w:t>施工时根据工程需要决定台架中部可折叠钻孔平台是否展开</w:t>
      </w:r>
      <w:r>
        <w:rPr>
          <w:rFonts w:hint="eastAsia" w:ascii="宋体" w:hAnsi="宋体" w:eastAsia="宋体" w:cs="宋体"/>
          <w:sz w:val="22"/>
          <w:szCs w:val="22"/>
        </w:rPr>
        <w:t>，</w:t>
      </w:r>
      <w:r>
        <w:rPr>
          <w:rFonts w:ascii="宋体" w:hAnsi="宋体" w:eastAsia="宋体" w:cs="宋体"/>
          <w:sz w:val="22"/>
          <w:szCs w:val="22"/>
        </w:rPr>
        <w:t>无需使用时可通过轴承依附于斜撑上</w:t>
      </w:r>
      <w:r>
        <w:rPr>
          <w:rFonts w:hint="eastAsia" w:ascii="宋体" w:hAnsi="宋体" w:eastAsia="宋体" w:cs="宋体"/>
          <w:sz w:val="22"/>
          <w:szCs w:val="22"/>
        </w:rPr>
        <w:t>。</w:t>
      </w:r>
    </w:p>
    <w:p>
      <w:pPr>
        <w:spacing w:line="312" w:lineRule="auto"/>
        <w:ind w:firstLine="442" w:firstLineChars="200"/>
        <w:outlineLvl w:val="1"/>
        <w:rPr>
          <w:rFonts w:ascii="宋体" w:hAnsi="宋体" w:eastAsia="宋体" w:cs="宋体"/>
          <w:b/>
          <w:bCs/>
          <w:sz w:val="22"/>
          <w:szCs w:val="22"/>
        </w:rPr>
      </w:pPr>
      <w:r>
        <w:rPr>
          <w:rFonts w:hint="eastAsia" w:ascii="宋体" w:hAnsi="宋体" w:eastAsia="宋体" w:cs="宋体"/>
          <w:b/>
          <w:bCs/>
          <w:sz w:val="22"/>
          <w:szCs w:val="22"/>
        </w:rPr>
        <w:t>2.3工艺流程</w:t>
      </w:r>
    </w:p>
    <w:p>
      <w:pPr>
        <w:spacing w:line="312" w:lineRule="auto"/>
        <w:ind w:firstLine="440" w:firstLineChars="200"/>
        <w:rPr>
          <w:rFonts w:ascii="宋体" w:hAnsi="宋体" w:eastAsia="宋体" w:cs="宋体"/>
          <w:bCs/>
          <w:color w:val="000000"/>
          <w:sz w:val="22"/>
          <w:szCs w:val="22"/>
        </w:rPr>
      </w:pPr>
      <w:r>
        <w:rPr>
          <w:rFonts w:hint="eastAsia" w:ascii="宋体" w:hAnsi="宋体" w:eastAsia="宋体" w:cs="宋体"/>
          <w:bCs/>
          <w:color w:val="000000"/>
          <w:sz w:val="22"/>
          <w:szCs w:val="22"/>
        </w:rPr>
        <w:t>（1）装载机将台架托举至掌子面。</w:t>
      </w:r>
    </w:p>
    <w:p>
      <w:pPr>
        <w:spacing w:line="312" w:lineRule="auto"/>
        <w:ind w:firstLine="440" w:firstLineChars="200"/>
        <w:rPr>
          <w:rFonts w:ascii="宋体" w:hAnsi="宋体" w:eastAsia="宋体" w:cs="宋体"/>
          <w:bCs/>
          <w:color w:val="000000"/>
          <w:sz w:val="22"/>
          <w:szCs w:val="22"/>
        </w:rPr>
      </w:pPr>
      <w:r>
        <w:rPr>
          <w:rFonts w:hint="eastAsia" w:ascii="宋体" w:hAnsi="宋体" w:eastAsia="宋体" w:cs="宋体"/>
          <w:bCs/>
          <w:color w:val="000000"/>
          <w:sz w:val="22"/>
          <w:szCs w:val="22"/>
        </w:rPr>
        <w:t>（2）</w:t>
      </w:r>
      <w:r>
        <w:rPr>
          <w:rFonts w:ascii="宋体" w:hAnsi="宋体" w:eastAsia="宋体" w:cs="宋体"/>
          <w:bCs/>
          <w:color w:val="000000"/>
          <w:sz w:val="22"/>
          <w:szCs w:val="22"/>
        </w:rPr>
        <w:t>展开</w:t>
      </w:r>
      <w:r>
        <w:rPr>
          <w:rFonts w:hint="eastAsia" w:ascii="宋体" w:hAnsi="宋体" w:eastAsia="宋体" w:cs="宋体"/>
          <w:bCs/>
          <w:color w:val="000000"/>
          <w:sz w:val="22"/>
          <w:szCs w:val="22"/>
        </w:rPr>
        <w:t>台架中部可折叠平台，形成两块由钢筋网与钢管组成的平台，两个平台相接构成整个施工平面。</w:t>
      </w:r>
    </w:p>
    <w:p>
      <w:pPr>
        <w:spacing w:line="312" w:lineRule="auto"/>
        <w:ind w:firstLine="440" w:firstLineChars="200"/>
        <w:rPr>
          <w:rFonts w:ascii="宋体" w:hAnsi="宋体" w:eastAsia="宋体" w:cs="宋体"/>
          <w:bCs/>
          <w:color w:val="000000"/>
          <w:sz w:val="22"/>
          <w:szCs w:val="22"/>
        </w:rPr>
      </w:pPr>
      <w:r>
        <w:rPr>
          <w:rFonts w:hint="eastAsia" w:ascii="宋体" w:hAnsi="宋体" w:eastAsia="宋体" w:cs="宋体"/>
          <w:bCs/>
          <w:color w:val="000000"/>
          <w:sz w:val="22"/>
          <w:szCs w:val="22"/>
        </w:rPr>
        <w:t>（3）台架接入风、水管，进行钻孔、装药施工作业。</w:t>
      </w:r>
    </w:p>
    <w:p>
      <w:pPr>
        <w:spacing w:line="312" w:lineRule="auto"/>
        <w:ind w:firstLine="440" w:firstLineChars="200"/>
        <w:rPr>
          <w:rFonts w:ascii="宋体" w:hAnsi="宋体" w:eastAsia="宋体" w:cs="宋体"/>
          <w:bCs/>
          <w:color w:val="000000"/>
          <w:sz w:val="22"/>
          <w:szCs w:val="22"/>
        </w:rPr>
      </w:pPr>
      <w:r>
        <w:rPr>
          <w:rFonts w:hint="eastAsia" w:ascii="宋体" w:hAnsi="宋体" w:eastAsia="宋体" w:cs="宋体"/>
          <w:bCs/>
          <w:color w:val="000000"/>
          <w:sz w:val="22"/>
          <w:szCs w:val="22"/>
        </w:rPr>
        <w:t>（4）施工完毕后，收起两块中部施工平台，使其附于斜撑之上。</w:t>
      </w:r>
    </w:p>
    <w:p>
      <w:pPr>
        <w:spacing w:line="312" w:lineRule="auto"/>
        <w:ind w:firstLine="440" w:firstLineChars="200"/>
        <w:rPr>
          <w:rFonts w:ascii="宋体" w:hAnsi="宋体" w:eastAsia="宋体" w:cs="宋体"/>
          <w:bCs/>
          <w:color w:val="000000"/>
          <w:sz w:val="22"/>
          <w:szCs w:val="22"/>
        </w:rPr>
      </w:pPr>
      <w:r>
        <w:rPr>
          <w:rFonts w:hint="eastAsia" w:ascii="宋体" w:hAnsi="宋体" w:eastAsia="宋体" w:cs="宋体"/>
          <w:bCs/>
          <w:color w:val="000000"/>
          <w:sz w:val="22"/>
          <w:szCs w:val="22"/>
        </w:rPr>
        <w:t>（</w:t>
      </w:r>
      <w:r>
        <w:rPr>
          <w:rFonts w:ascii="宋体" w:hAnsi="宋体" w:eastAsia="宋体" w:cs="宋体"/>
          <w:bCs/>
          <w:color w:val="000000"/>
          <w:sz w:val="22"/>
          <w:szCs w:val="22"/>
        </w:rPr>
        <w:t>4</w:t>
      </w:r>
      <w:r>
        <w:rPr>
          <w:rFonts w:hint="eastAsia" w:ascii="宋体" w:hAnsi="宋体" w:eastAsia="宋体" w:cs="宋体"/>
          <w:bCs/>
          <w:color w:val="000000"/>
          <w:sz w:val="22"/>
          <w:szCs w:val="22"/>
        </w:rPr>
        <w:t>）爆破前装载机将开挖台架后移。</w:t>
      </w:r>
    </w:p>
    <w:p>
      <w:pPr>
        <w:spacing w:line="312" w:lineRule="auto"/>
        <w:jc w:val="center"/>
        <w:rPr>
          <w:rFonts w:ascii="宋体" w:hAnsi="宋体" w:eastAsia="宋体" w:cs="宋体"/>
          <w:b/>
          <w:bCs/>
          <w:sz w:val="22"/>
          <w:szCs w:val="22"/>
        </w:rPr>
      </w:pPr>
      <w:r>
        <w:rPr>
          <w:rFonts w:ascii="宋体" w:hAnsi="宋体" w:eastAsia="宋体" w:cs="宋体"/>
          <w:b/>
          <w:bCs/>
          <w:sz w:val="22"/>
          <w:szCs w:val="22"/>
        </w:rPr>
        <w:drawing>
          <wp:inline distT="0" distB="0" distL="0" distR="0">
            <wp:extent cx="3581400" cy="1731645"/>
            <wp:effectExtent l="0" t="0" r="0" b="1905"/>
            <wp:docPr id="9" name="图片 9"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3581400" cy="1731645"/>
                    </a:xfrm>
                    <a:prstGeom prst="rect">
                      <a:avLst/>
                    </a:prstGeom>
                    <a:noFill/>
                    <a:ln>
                      <a:noFill/>
                    </a:ln>
                  </pic:spPr>
                </pic:pic>
              </a:graphicData>
            </a:graphic>
          </wp:inline>
        </w:drawing>
      </w:r>
    </w:p>
    <w:p>
      <w:pPr>
        <w:spacing w:line="312" w:lineRule="auto"/>
        <w:jc w:val="center"/>
        <w:rPr>
          <w:rFonts w:ascii="宋体" w:hAnsi="宋体" w:eastAsia="宋体" w:cs="宋体"/>
          <w:b/>
          <w:bCs/>
          <w:sz w:val="22"/>
          <w:szCs w:val="22"/>
        </w:rPr>
      </w:pPr>
      <w:r>
        <w:rPr>
          <w:rFonts w:hint="eastAsia" w:ascii="宋体" w:hAnsi="宋体" w:eastAsia="宋体" w:cs="宋体"/>
          <w:b/>
          <w:bCs/>
          <w:sz w:val="22"/>
          <w:szCs w:val="22"/>
        </w:rPr>
        <w:t>图3</w:t>
      </w:r>
      <w:r>
        <w:rPr>
          <w:rFonts w:ascii="宋体" w:hAnsi="宋体" w:eastAsia="宋体" w:cs="宋体"/>
          <w:b/>
          <w:bCs/>
          <w:sz w:val="22"/>
          <w:szCs w:val="22"/>
        </w:rPr>
        <w:t xml:space="preserve"> </w:t>
      </w:r>
      <w:r>
        <w:rPr>
          <w:rFonts w:hint="eastAsia" w:ascii="宋体" w:hAnsi="宋体" w:eastAsia="宋体" w:cs="宋体"/>
          <w:b/>
          <w:bCs/>
          <w:sz w:val="22"/>
          <w:szCs w:val="22"/>
        </w:rPr>
        <w:t>施工工艺流程图</w:t>
      </w:r>
    </w:p>
    <w:p>
      <w:pPr>
        <w:spacing w:before="156" w:beforeLines="50" w:after="156" w:afterLines="50" w:line="360" w:lineRule="auto"/>
        <w:jc w:val="center"/>
        <w:rPr>
          <w:rFonts w:ascii="黑体" w:hAnsi="黑体" w:eastAsia="黑体" w:cs="黑体"/>
          <w:b/>
          <w:bCs/>
          <w:color w:val="002060"/>
          <w:sz w:val="24"/>
        </w:rPr>
      </w:pPr>
      <w:r>
        <w:rPr>
          <w:rFonts w:hint="eastAsia" w:ascii="黑体" w:hAnsi="黑体" w:eastAsia="黑体" w:cs="黑体"/>
          <w:b/>
          <w:bCs/>
          <w:color w:val="002060"/>
          <w:sz w:val="24"/>
        </w:rPr>
        <w:t>3.应用效果</w:t>
      </w:r>
    </w:p>
    <w:p>
      <w:pPr>
        <w:spacing w:line="312" w:lineRule="auto"/>
        <w:ind w:firstLine="440" w:firstLineChars="200"/>
        <w:rPr>
          <w:rFonts w:ascii="宋体" w:hAnsi="宋体" w:eastAsia="宋体" w:cs="宋体"/>
          <w:color w:val="000000"/>
          <w:sz w:val="22"/>
          <w:szCs w:val="22"/>
        </w:rPr>
      </w:pPr>
      <w:r>
        <w:rPr>
          <w:rFonts w:hint="eastAsia" w:ascii="宋体" w:hAnsi="宋体" w:eastAsia="宋体" w:cs="宋体"/>
          <w:color w:val="000000"/>
          <w:sz w:val="22"/>
          <w:szCs w:val="22"/>
        </w:rPr>
        <w:t>我项目部人员研制出台架中部可折叠钻孔平台并成功应用，该装置有效解决了施工台架的使用具有一定的局限性，例如活动性较差、架空层不可调节等问题，避免了开挖钻孔时孔深和角度不合理从而增加超欠挖现象发生的问题。此外，钻孔精度的增加可以改善光面爆破的效果，减少超欠挖量，节省施工成本。</w:t>
      </w:r>
    </w:p>
    <w:p>
      <w:pPr>
        <w:spacing w:line="312" w:lineRule="auto"/>
        <w:jc w:val="center"/>
        <w:rPr>
          <w:rFonts w:ascii="宋体" w:hAnsi="宋体" w:eastAsia="宋体" w:cs="宋体"/>
          <w:b/>
          <w:bCs/>
          <w:sz w:val="22"/>
          <w:szCs w:val="22"/>
        </w:rPr>
      </w:pPr>
      <w:r>
        <w:rPr>
          <w:rFonts w:ascii="宋体" w:hAnsi="宋体" w:eastAsia="宋体" w:cs="宋体"/>
          <w:b/>
          <w:bCs/>
          <w:sz w:val="22"/>
          <w:szCs w:val="22"/>
        </w:rPr>
        <w:drawing>
          <wp:inline distT="0" distB="0" distL="0" distR="0">
            <wp:extent cx="3383280" cy="2745740"/>
            <wp:effectExtent l="0" t="0" r="762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3385289" cy="2747752"/>
                    </a:xfrm>
                    <a:prstGeom prst="rect">
                      <a:avLst/>
                    </a:prstGeom>
                    <a:noFill/>
                  </pic:spPr>
                </pic:pic>
              </a:graphicData>
            </a:graphic>
          </wp:inline>
        </w:drawing>
      </w:r>
    </w:p>
    <w:p>
      <w:pPr>
        <w:spacing w:line="312" w:lineRule="auto"/>
        <w:jc w:val="center"/>
        <w:rPr>
          <w:rFonts w:hint="eastAsia" w:ascii="宋体" w:hAnsi="宋体" w:eastAsia="宋体" w:cs="宋体"/>
          <w:b/>
          <w:bCs/>
          <w:sz w:val="22"/>
          <w:szCs w:val="22"/>
        </w:rPr>
      </w:pPr>
      <w:r>
        <w:rPr>
          <w:rFonts w:hint="eastAsia" w:ascii="宋体" w:hAnsi="宋体" w:eastAsia="宋体" w:cs="宋体"/>
          <w:b/>
          <w:bCs/>
          <w:sz w:val="22"/>
          <w:szCs w:val="22"/>
        </w:rPr>
        <w:t>图4</w:t>
      </w:r>
      <w:r>
        <w:rPr>
          <w:rFonts w:ascii="宋体" w:hAnsi="宋体" w:eastAsia="宋体" w:cs="宋体"/>
          <w:b/>
          <w:bCs/>
          <w:sz w:val="22"/>
          <w:szCs w:val="22"/>
        </w:rPr>
        <w:t xml:space="preserve"> 台架中部钻孔平台实物图</w:t>
      </w:r>
    </w:p>
    <w:p>
      <w:pPr>
        <w:spacing w:line="312" w:lineRule="auto"/>
        <w:ind w:firstLine="440" w:firstLineChars="200"/>
        <w:rPr>
          <w:rFonts w:hint="eastAsia" w:ascii="宋体" w:hAnsi="宋体" w:eastAsia="宋体" w:cs="宋体"/>
          <w:color w:val="000000"/>
          <w:sz w:val="22"/>
          <w:szCs w:val="22"/>
        </w:rPr>
      </w:pPr>
      <w:r>
        <w:rPr>
          <w:rFonts w:hint="eastAsia" w:ascii="宋体" w:hAnsi="宋体" w:eastAsia="宋体" w:cs="宋体"/>
          <w:color w:val="000000"/>
          <w:sz w:val="22"/>
          <w:szCs w:val="22"/>
        </w:rPr>
        <w:t>经统计改进施工作业台架后，光面爆破效果显著提升。原爆破施工方案平均超挖距离为0.3382m，平均超挖面积为8.086m</w:t>
      </w:r>
      <w:r>
        <w:rPr>
          <w:rFonts w:hint="eastAsia" w:ascii="宋体" w:hAnsi="宋体" w:eastAsia="宋体" w:cs="宋体"/>
          <w:color w:val="000000"/>
          <w:sz w:val="22"/>
          <w:szCs w:val="22"/>
          <w:vertAlign w:val="superscript"/>
        </w:rPr>
        <w:t>2</w:t>
      </w:r>
      <w:r>
        <w:rPr>
          <w:rFonts w:hint="eastAsia" w:ascii="宋体" w:hAnsi="宋体" w:eastAsia="宋体" w:cs="宋体"/>
          <w:color w:val="000000"/>
          <w:sz w:val="22"/>
          <w:szCs w:val="22"/>
        </w:rPr>
        <w:t>；改进台架之后平均超挖距离为0.0649m，同比减小80.81%，平均超挖面积为0.754m</w:t>
      </w:r>
      <w:r>
        <w:rPr>
          <w:rFonts w:hint="eastAsia" w:ascii="宋体" w:hAnsi="宋体" w:eastAsia="宋体" w:cs="宋体"/>
          <w:color w:val="000000"/>
          <w:sz w:val="22"/>
          <w:szCs w:val="22"/>
          <w:vertAlign w:val="superscript"/>
        </w:rPr>
        <w:t>2</w:t>
      </w:r>
      <w:r>
        <w:rPr>
          <w:rFonts w:hint="eastAsia" w:ascii="宋体" w:hAnsi="宋体" w:eastAsia="宋体" w:cs="宋体"/>
          <w:color w:val="000000"/>
          <w:sz w:val="22"/>
          <w:szCs w:val="22"/>
        </w:rPr>
        <w:t>，同比减小90.68%，折合每米节约喷混量8.086-0.754=</w:t>
      </w:r>
      <w:r>
        <w:rPr>
          <w:rFonts w:ascii="宋体" w:hAnsi="宋体" w:eastAsia="宋体" w:cs="宋体"/>
          <w:color w:val="000000"/>
          <w:sz w:val="22"/>
          <w:szCs w:val="22"/>
        </w:rPr>
        <w:t>7.332</w:t>
      </w:r>
      <w:r>
        <w:rPr>
          <w:rFonts w:hint="eastAsia" w:ascii="宋体" w:hAnsi="宋体" w:eastAsia="宋体" w:cs="宋体"/>
          <w:color w:val="000000"/>
          <w:sz w:val="22"/>
          <w:szCs w:val="22"/>
        </w:rPr>
        <w:t>m</w:t>
      </w:r>
      <w:r>
        <w:rPr>
          <w:rFonts w:hint="eastAsia" w:ascii="宋体" w:hAnsi="宋体" w:eastAsia="宋体" w:cs="宋体"/>
          <w:color w:val="000000"/>
          <w:sz w:val="22"/>
          <w:szCs w:val="22"/>
          <w:vertAlign w:val="superscript"/>
        </w:rPr>
        <w:t>3</w:t>
      </w:r>
      <w:r>
        <w:rPr>
          <w:rFonts w:hint="eastAsia" w:ascii="宋体" w:hAnsi="宋体" w:eastAsia="宋体" w:cs="宋体"/>
          <w:color w:val="000000"/>
          <w:sz w:val="22"/>
          <w:szCs w:val="22"/>
        </w:rPr>
        <w:t>，折合混凝土价格</w:t>
      </w:r>
      <w:r>
        <w:rPr>
          <w:rFonts w:ascii="宋体" w:hAnsi="宋体" w:eastAsia="宋体" w:cs="宋体"/>
          <w:color w:val="000000"/>
          <w:sz w:val="22"/>
          <w:szCs w:val="22"/>
        </w:rPr>
        <w:t>7.332</w:t>
      </w:r>
      <w:r>
        <w:rPr>
          <w:rFonts w:hint="eastAsia" w:ascii="宋体" w:hAnsi="宋体" w:eastAsia="宋体" w:cs="宋体"/>
          <w:color w:val="000000"/>
          <w:sz w:val="22"/>
          <w:szCs w:val="22"/>
        </w:rPr>
        <w:t>*</w:t>
      </w:r>
      <w:r>
        <w:rPr>
          <w:rFonts w:ascii="宋体" w:hAnsi="宋体" w:eastAsia="宋体" w:cs="宋体"/>
          <w:color w:val="000000"/>
          <w:sz w:val="22"/>
          <w:szCs w:val="22"/>
        </w:rPr>
        <w:t>480</w:t>
      </w:r>
      <w:r>
        <w:rPr>
          <w:rFonts w:hint="eastAsia" w:ascii="宋体" w:hAnsi="宋体" w:eastAsia="宋体" w:cs="宋体"/>
          <w:color w:val="000000"/>
          <w:sz w:val="22"/>
          <w:szCs w:val="22"/>
        </w:rPr>
        <w:t>=</w:t>
      </w:r>
      <w:r>
        <w:rPr>
          <w:rFonts w:ascii="宋体" w:hAnsi="宋体" w:eastAsia="宋体" w:cs="宋体"/>
          <w:color w:val="000000"/>
          <w:sz w:val="22"/>
          <w:szCs w:val="22"/>
        </w:rPr>
        <w:t>3519</w:t>
      </w:r>
      <w:r>
        <w:rPr>
          <w:rFonts w:hint="eastAsia" w:ascii="宋体" w:hAnsi="宋体" w:eastAsia="宋体" w:cs="宋体"/>
          <w:color w:val="000000"/>
          <w:sz w:val="22"/>
          <w:szCs w:val="22"/>
        </w:rPr>
        <w:t>元。在隧道钻孔开挖施工过程中，通过改进后施工作业台架的使用，提高了施工效率，避免了传统钻爆法施工导致超欠挖严重的后果，降低了后期工程损耗，减少了施工成本，提高了工程质量，具有较大的推广价值，社会效益显著，获得了参建单位、业主及监理的一致肯定，公司的影响力得到了显著提升。</w:t>
      </w:r>
    </w:p>
    <w:p>
      <w:pPr>
        <w:spacing w:before="156" w:beforeLines="50" w:after="156" w:afterLines="50" w:line="360" w:lineRule="auto"/>
        <w:jc w:val="center"/>
        <w:rPr>
          <w:rFonts w:ascii="黑体" w:hAnsi="黑体" w:eastAsia="黑体" w:cs="黑体"/>
          <w:b/>
          <w:bCs/>
          <w:color w:val="002060"/>
          <w:sz w:val="24"/>
        </w:rPr>
      </w:pPr>
      <w:r>
        <w:rPr>
          <w:rFonts w:hint="eastAsia" w:ascii="黑体" w:hAnsi="黑体" w:eastAsia="黑体" w:cs="黑体"/>
          <w:b/>
          <w:bCs/>
          <w:color w:val="002060"/>
          <w:sz w:val="24"/>
        </w:rPr>
        <w:t>4.推广应用前景</w:t>
      </w:r>
    </w:p>
    <w:p>
      <w:pPr>
        <w:spacing w:line="312" w:lineRule="auto"/>
        <w:ind w:firstLine="440" w:firstLineChars="200"/>
        <w:rPr>
          <w:rFonts w:ascii="宋体" w:hAnsi="宋体" w:eastAsia="宋体" w:cs="宋体"/>
          <w:color w:val="000000"/>
          <w:sz w:val="22"/>
          <w:szCs w:val="22"/>
        </w:rPr>
      </w:pPr>
      <w:r>
        <w:rPr>
          <w:rFonts w:hint="eastAsia" w:ascii="宋体" w:hAnsi="宋体" w:eastAsia="宋体" w:cs="宋体"/>
          <w:color w:val="000000"/>
          <w:sz w:val="22"/>
          <w:szCs w:val="22"/>
        </w:rPr>
        <w:t>该成果适用于隧道光面爆破人工钻孔施工工艺，目前已在京秦高速公路遵秦段隧道工程中推广应用，应用改进后施工作业台架后有效提高钻孔位置及精度，降低了施工位置限制可能导致的误差，从而提高隧道爆破开挖质量，显著提升光面爆破的效果，降低超欠挖现象的出现，加快隧道施工的效率，提高工程质量，具有较大的市场和经济社会效益的前景。</w:t>
      </w:r>
    </w:p>
    <w:sectPr>
      <w:headerReference r:id="rId3" w:type="default"/>
      <w:footerReference r:id="rId4" w:type="default"/>
      <w:pgSz w:w="11906" w:h="16838"/>
      <w:pgMar w:top="1440" w:right="1080" w:bottom="1440" w:left="1080" w:header="1134" w:footer="1191" w:gutter="0"/>
      <w:pgNumType w:fmt="numberInDash"/>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modern"/>
    <w:pitch w:val="default"/>
    <w:sig w:usb0="00000001" w:usb1="080E0000" w:usb2="00000000" w:usb3="00000000" w:csb0="00040000" w:csb1="00000000"/>
  </w:font>
  <w:font w:name="方正小标宋简体">
    <w:panose1 w:val="02000000000000000000"/>
    <w:charset w:val="86"/>
    <w:family w:val="auto"/>
    <w:pitch w:val="default"/>
    <w:sig w:usb0="A00002BF" w:usb1="184F6CFA" w:usb2="00000012"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jc w:val="center"/>
                          </w:pPr>
                          <w:r>
                            <w:rPr>
                              <w:sz w:val="21"/>
                              <w:szCs w:val="32"/>
                            </w:rPr>
                            <w:fldChar w:fldCharType="begin"/>
                          </w:r>
                          <w:r>
                            <w:rPr>
                              <w:sz w:val="21"/>
                              <w:szCs w:val="32"/>
                            </w:rPr>
                            <w:instrText xml:space="preserve"> PAGE  \* MERGEFORMAT </w:instrText>
                          </w:r>
                          <w:r>
                            <w:rPr>
                              <w:sz w:val="21"/>
                              <w:szCs w:val="32"/>
                            </w:rPr>
                            <w:fldChar w:fldCharType="separate"/>
                          </w:r>
                          <w:r>
                            <w:rPr>
                              <w:sz w:val="21"/>
                              <w:szCs w:val="32"/>
                            </w:rPr>
                            <w:t>- 2 -</w:t>
                          </w:r>
                          <w:r>
                            <w:rPr>
                              <w:sz w:val="21"/>
                              <w:szCs w:val="32"/>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ILIswsAgAAVwQAAA4AAABkcnMvZTJvRG9jLnhtbK1UzY7TMBC+I/EO&#10;lu80bVes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1dvx+nCxQNwqZEjkugeG63Q7tqe2c4U&#10;JxBzpusNb/mmRvIt8+GeOTQDHoxxCXdYSmmQxPQWJZVxX/91HuNRI3gpadBcOdWYJUrkB43aATAM&#10;hhuM3WDog7o16NYJxtDyZOKCC3IwS2fUF8zQKuaAi2mOTDkNg3kbugbHDHKxWqUgdJtlYasfLI/Q&#10;UTxvV4cAAZOuUZROiV4r9FuqTD8bsaH/3Keop//B8h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MgsizCwCAABXBAAADgAAAAAAAAABACAAAAAfAQAAZHJzL2Uyb0RvYy54bWxQSwUGAAAAAAYA&#10;BgBZAQAAvQUAAAAA&#10;">
              <v:fill on="f" focussize="0,0"/>
              <v:stroke on="f" weight="0.5pt"/>
              <v:imagedata o:title=""/>
              <o:lock v:ext="edit" aspectratio="f"/>
              <v:textbox inset="0mm,0mm,0mm,0mm" style="mso-fit-shape-to-text:t;">
                <w:txbxContent>
                  <w:p>
                    <w:pPr>
                      <w:pStyle w:val="2"/>
                      <w:jc w:val="center"/>
                    </w:pPr>
                    <w:r>
                      <w:rPr>
                        <w:sz w:val="21"/>
                        <w:szCs w:val="32"/>
                      </w:rPr>
                      <w:fldChar w:fldCharType="begin"/>
                    </w:r>
                    <w:r>
                      <w:rPr>
                        <w:sz w:val="21"/>
                        <w:szCs w:val="32"/>
                      </w:rPr>
                      <w:instrText xml:space="preserve"> PAGE  \* MERGEFORMAT </w:instrText>
                    </w:r>
                    <w:r>
                      <w:rPr>
                        <w:sz w:val="21"/>
                        <w:szCs w:val="32"/>
                      </w:rPr>
                      <w:fldChar w:fldCharType="separate"/>
                    </w:r>
                    <w:r>
                      <w:rPr>
                        <w:sz w:val="21"/>
                        <w:szCs w:val="32"/>
                      </w:rPr>
                      <w:t>- 2 -</w:t>
                    </w:r>
                    <w:r>
                      <w:rPr>
                        <w:sz w:val="21"/>
                        <w:szCs w:val="32"/>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single" w:color="auto" w:sz="4" w:space="1"/>
      </w:pBdr>
      <w:jc w:val="center"/>
      <w:rPr>
        <w:rFonts w:ascii="黑体" w:hAnsi="黑体" w:eastAsia="黑体" w:cs="黑体"/>
      </w:rPr>
    </w:pPr>
    <w:r>
      <w:pict>
        <v:shape id="PowerPlusWaterMarkObject188469" o:spid="_x0000_s3073" o:spt="136" type="#_x0000_t136" style="position:absolute;left:0pt;height:59.75pt;width:629.3pt;mso-position-horizontal:center;mso-position-horizontal-relative:margin;mso-position-vertical:center;mso-position-vertical-relative:margin;rotation:-2949120f;z-index:-251656192;mso-width-relative:page;mso-height-relative:page;" fillcolor="#C0C0C0" filled="t" stroked="f" coordsize="21600,21600">
          <v:path/>
          <v:fill on="t" opacity="32768f" focussize="0,0"/>
          <v:stroke on="f"/>
          <v:imagedata o:title=""/>
          <o:lock v:ext="edit" aspectratio="t"/>
          <v:textpath on="t" fitshape="t" fitpath="t" trim="t" xscale="f" string="CHCA中国公路建设行业协会" style="font-family:仿宋_GB2312;font-size:36pt;v-text-align:center;"/>
        </v:shape>
      </w:pict>
    </w:r>
    <w:r>
      <w:rPr>
        <w:rFonts w:hint="eastAsia" w:ascii="黑体" w:hAnsi="黑体" w:eastAsia="黑体" w:cs="黑体"/>
      </w:rPr>
      <w:t>202</w:t>
    </w:r>
    <w:r>
      <w:rPr>
        <w:rFonts w:hint="eastAsia" w:ascii="黑体" w:hAnsi="黑体" w:eastAsia="黑体" w:cs="黑体"/>
        <w:lang w:val="en-US" w:eastAsia="zh-CN"/>
      </w:rPr>
      <w:t>1</w:t>
    </w:r>
    <w:r>
      <w:rPr>
        <w:rFonts w:hint="eastAsia" w:ascii="黑体" w:hAnsi="黑体" w:eastAsia="黑体" w:cs="黑体"/>
      </w:rPr>
      <w:t>年度交通建设“微创新”成果展示</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embedSystemFonts/>
  <w:documentProtection w:enforcement="0"/>
  <w:defaultTabStop w:val="420"/>
  <w:drawingGridVerticalSpacing w:val="156"/>
  <w:noPunctuationKerning w:val="1"/>
  <w:characterSpacingControl w:val="compressPunctuation"/>
  <w:hdrShapeDefaults>
    <o:shapelayout v:ext="edit">
      <o:idmap v:ext="edit" data="3"/>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jA0YzgzZDUwZDEwZDU4MzM4M2ZmYmZkYTlmMDVlZGIifQ=="/>
  </w:docVars>
  <w:rsids>
    <w:rsidRoot w:val="44DE38B5"/>
    <w:rsid w:val="000A269D"/>
    <w:rsid w:val="0026734D"/>
    <w:rsid w:val="00362595"/>
    <w:rsid w:val="004640A1"/>
    <w:rsid w:val="00B766E3"/>
    <w:rsid w:val="00B87EB6"/>
    <w:rsid w:val="00BC20E0"/>
    <w:rsid w:val="00BF5034"/>
    <w:rsid w:val="03A569EC"/>
    <w:rsid w:val="07AA1F88"/>
    <w:rsid w:val="0A96278F"/>
    <w:rsid w:val="0D49663A"/>
    <w:rsid w:val="0D8B43D2"/>
    <w:rsid w:val="0E9B0EE5"/>
    <w:rsid w:val="0F3166BA"/>
    <w:rsid w:val="10D91F69"/>
    <w:rsid w:val="12D009BC"/>
    <w:rsid w:val="143B047A"/>
    <w:rsid w:val="144D6C44"/>
    <w:rsid w:val="164474E4"/>
    <w:rsid w:val="16804FD6"/>
    <w:rsid w:val="1A9116DB"/>
    <w:rsid w:val="1AC32964"/>
    <w:rsid w:val="1B8B65A8"/>
    <w:rsid w:val="1B930E93"/>
    <w:rsid w:val="1B991BC3"/>
    <w:rsid w:val="1BA050D2"/>
    <w:rsid w:val="1D4F301A"/>
    <w:rsid w:val="1F01392E"/>
    <w:rsid w:val="1FF362E9"/>
    <w:rsid w:val="21FC1C07"/>
    <w:rsid w:val="22F642B7"/>
    <w:rsid w:val="23DA0054"/>
    <w:rsid w:val="240466DC"/>
    <w:rsid w:val="252A4CBA"/>
    <w:rsid w:val="274F6D77"/>
    <w:rsid w:val="281B4728"/>
    <w:rsid w:val="29004B2D"/>
    <w:rsid w:val="2A1942FF"/>
    <w:rsid w:val="2A28776A"/>
    <w:rsid w:val="2BAB03CF"/>
    <w:rsid w:val="2BD43C14"/>
    <w:rsid w:val="2C160718"/>
    <w:rsid w:val="2E4F0C34"/>
    <w:rsid w:val="2FC127BE"/>
    <w:rsid w:val="30D20F4E"/>
    <w:rsid w:val="33D2657B"/>
    <w:rsid w:val="35431E90"/>
    <w:rsid w:val="35496C49"/>
    <w:rsid w:val="37152903"/>
    <w:rsid w:val="374C7490"/>
    <w:rsid w:val="37DD407E"/>
    <w:rsid w:val="38DE08C5"/>
    <w:rsid w:val="39282A8A"/>
    <w:rsid w:val="393A381B"/>
    <w:rsid w:val="39673D33"/>
    <w:rsid w:val="3AC77F71"/>
    <w:rsid w:val="3BCC0E66"/>
    <w:rsid w:val="3BD34656"/>
    <w:rsid w:val="3E18718B"/>
    <w:rsid w:val="3F92266E"/>
    <w:rsid w:val="401716E8"/>
    <w:rsid w:val="40E574E6"/>
    <w:rsid w:val="41780276"/>
    <w:rsid w:val="42387253"/>
    <w:rsid w:val="42F85996"/>
    <w:rsid w:val="43511AA8"/>
    <w:rsid w:val="43D34118"/>
    <w:rsid w:val="448D0F53"/>
    <w:rsid w:val="44DE38B5"/>
    <w:rsid w:val="46765F73"/>
    <w:rsid w:val="46F9221A"/>
    <w:rsid w:val="47730927"/>
    <w:rsid w:val="47B732C0"/>
    <w:rsid w:val="48EE4383"/>
    <w:rsid w:val="4A41440D"/>
    <w:rsid w:val="4DE1130A"/>
    <w:rsid w:val="4F403202"/>
    <w:rsid w:val="54C61215"/>
    <w:rsid w:val="5709702F"/>
    <w:rsid w:val="5814240D"/>
    <w:rsid w:val="59EC4EE4"/>
    <w:rsid w:val="5AEF2CE7"/>
    <w:rsid w:val="5B296730"/>
    <w:rsid w:val="5D074DE8"/>
    <w:rsid w:val="5DD031A6"/>
    <w:rsid w:val="5F2B6F1B"/>
    <w:rsid w:val="61B92F94"/>
    <w:rsid w:val="62BD472F"/>
    <w:rsid w:val="63D15422"/>
    <w:rsid w:val="644D659F"/>
    <w:rsid w:val="65906DBA"/>
    <w:rsid w:val="663075FA"/>
    <w:rsid w:val="684725D9"/>
    <w:rsid w:val="692340AF"/>
    <w:rsid w:val="69A179D9"/>
    <w:rsid w:val="69A85122"/>
    <w:rsid w:val="6B4677C2"/>
    <w:rsid w:val="6E08300B"/>
    <w:rsid w:val="703C7978"/>
    <w:rsid w:val="71663954"/>
    <w:rsid w:val="71DB5478"/>
    <w:rsid w:val="71E013C2"/>
    <w:rsid w:val="758374EC"/>
    <w:rsid w:val="7719666B"/>
    <w:rsid w:val="79254F87"/>
    <w:rsid w:val="796F0760"/>
    <w:rsid w:val="7A155EA4"/>
    <w:rsid w:val="7A8A280C"/>
    <w:rsid w:val="7CC4758A"/>
    <w:rsid w:val="7E0043A1"/>
    <w:rsid w:val="7E45302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iPriority="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仿宋_GB2312" w:cs="Times New Roman"/>
      <w:kern w:val="2"/>
      <w:sz w:val="32"/>
      <w:szCs w:val="24"/>
      <w:lang w:val="en-US" w:eastAsia="zh-CN" w:bidi="ar-SA"/>
    </w:rPr>
  </w:style>
  <w:style w:type="character" w:default="1" w:styleId="5">
    <w:name w:val="Default Paragraph Font"/>
    <w:unhideWhenUsed/>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3073"/>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4</Pages>
  <Words>1656</Words>
  <Characters>1771</Characters>
  <Lines>12</Lines>
  <Paragraphs>3</Paragraphs>
  <TotalTime>4</TotalTime>
  <ScaleCrop>false</ScaleCrop>
  <LinksUpToDate>false</LinksUpToDate>
  <CharactersWithSpaces>1777</CharactersWithSpaces>
  <Application>WPS Office_11.1.0.12358_F1E327BC-269C-435d-A152-05C5408002CA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2021-06-02T06:49:00Z</dcterms:created>
  <dc:creator>anda</dc:creator>
  <cp:lastModifiedBy>叫一声  佛祖</cp:lastModifiedBy>
  <dcterms:modified xsi:type="dcterms:W3CDTF">2022-10-14T05:40:22Z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2052-11.1.0.12358</vt:lpwstr>
  </property>
  <property fmtid="{D5CDD505-2E9C-101B-9397-08002B2CF9AE}" pid="3" name="ICV">
    <vt:lpwstr>0E401E2A32414DBB83094D62FBB6E074</vt:lpwstr>
  </property>
</Properties>
</file>