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rPr>
          <w:rFonts w:ascii="宋体" w:hAnsi="宋体" w:eastAsia="宋体" w:cs="宋体"/>
          <w:b/>
          <w:bCs/>
          <w:color w:val="000000"/>
          <w:sz w:val="21"/>
          <w:szCs w:val="21"/>
        </w:rPr>
      </w:pPr>
    </w:p>
    <w:p>
      <w:pPr>
        <w:snapToGrid w:val="0"/>
        <w:spacing w:line="288" w:lineRule="auto"/>
        <w:rPr>
          <w:rFonts w:ascii="宋体" w:hAnsi="宋体" w:eastAsia="宋体" w:cs="宋体"/>
          <w:color w:val="000000"/>
          <w:sz w:val="21"/>
          <w:szCs w:val="21"/>
        </w:rPr>
      </w:pPr>
      <w:r>
        <w:rPr>
          <w:rFonts w:hint="eastAsia" w:ascii="宋体" w:hAnsi="宋体" w:eastAsia="宋体" w:cs="宋体"/>
          <w:b/>
          <w:bCs/>
          <w:color w:val="000000"/>
          <w:sz w:val="21"/>
          <w:szCs w:val="21"/>
        </w:rPr>
        <w:t>[类  型]</w:t>
      </w:r>
      <w:r>
        <w:rPr>
          <w:rFonts w:ascii="宋体" w:hAnsi="宋体" w:eastAsia="宋体" w:cs="宋体"/>
          <w:b/>
          <w:bCs/>
          <w:color w:val="000000"/>
          <w:sz w:val="21"/>
          <w:szCs w:val="21"/>
        </w:rPr>
        <w:t xml:space="preserve"> </w:t>
      </w:r>
      <w:r>
        <w:rPr>
          <w:rFonts w:hint="eastAsia" w:ascii="宋体" w:hAnsi="宋体" w:eastAsia="宋体" w:cs="宋体"/>
          <w:color w:val="000000"/>
          <w:sz w:val="21"/>
          <w:szCs w:val="21"/>
        </w:rPr>
        <w:t>技术工艺提升</w:t>
      </w:r>
    </w:p>
    <w:p>
      <w:pPr>
        <w:snapToGrid w:val="0"/>
        <w:spacing w:line="288" w:lineRule="auto"/>
        <w:rPr>
          <w:rFonts w:ascii="宋体" w:hAnsi="宋体" w:eastAsia="宋体" w:cs="宋体"/>
          <w:color w:val="000000"/>
          <w:sz w:val="21"/>
          <w:szCs w:val="21"/>
        </w:rPr>
      </w:pPr>
      <w:r>
        <w:rPr>
          <w:rFonts w:hint="eastAsia" w:ascii="宋体" w:hAnsi="宋体" w:eastAsia="宋体" w:cs="宋体"/>
          <w:b/>
          <w:bCs/>
          <w:color w:val="000000"/>
          <w:sz w:val="21"/>
          <w:szCs w:val="21"/>
        </w:rPr>
        <w:t>[关键词]</w:t>
      </w:r>
      <w:r>
        <w:rPr>
          <w:rFonts w:hint="eastAsia"/>
        </w:rPr>
        <w:t xml:space="preserve"> </w:t>
      </w:r>
      <w:r>
        <w:rPr>
          <w:rFonts w:hint="eastAsia" w:ascii="宋体" w:hAnsi="宋体" w:eastAsia="宋体" w:cs="宋体"/>
          <w:color w:val="000000"/>
          <w:sz w:val="21"/>
          <w:szCs w:val="21"/>
        </w:rPr>
        <w:t>进仓，盾构，搅拌罐</w:t>
      </w:r>
    </w:p>
    <w:p>
      <w:pPr>
        <w:snapToGrid w:val="0"/>
        <w:rPr>
          <w:rFonts w:ascii="方正小标宋简体" w:hAnsi="方正小标宋简体" w:eastAsia="方正小标宋简体" w:cs="方正小标宋简体"/>
          <w:color w:val="000000"/>
          <w:sz w:val="21"/>
          <w:szCs w:val="21"/>
        </w:rPr>
      </w:pPr>
    </w:p>
    <w:p>
      <w:pPr>
        <w:spacing w:before="156" w:beforeLines="50"/>
        <w:jc w:val="center"/>
        <w:rPr>
          <w:rFonts w:hint="eastAsia" w:ascii="方正小标宋简体" w:hAnsi="方正小标宋简体" w:eastAsia="方正小标宋简体" w:cs="方正小标宋简体"/>
          <w:color w:val="000000"/>
          <w:szCs w:val="32"/>
          <w:lang w:eastAsia="zh-CN"/>
        </w:rPr>
      </w:pPr>
      <w:r>
        <w:rPr>
          <w:rFonts w:hint="eastAsia" w:ascii="方正小标宋简体" w:hAnsi="方正小标宋简体" w:eastAsia="方正小标宋简体" w:cs="方正小标宋简体"/>
          <w:color w:val="000000"/>
          <w:szCs w:val="32"/>
        </w:rPr>
        <w:t>进仓限位装置在盾构施工砂浆搅拌罐上的创新应用</w:t>
      </w:r>
    </w:p>
    <w:p>
      <w:pPr>
        <w:spacing w:before="156" w:beforeLines="50"/>
        <w:jc w:val="center"/>
        <w:rPr>
          <w:sz w:val="24"/>
        </w:rPr>
      </w:pPr>
      <w:r>
        <w:rPr>
          <w:rFonts w:hint="eastAsia"/>
          <w:sz w:val="24"/>
        </w:rPr>
        <w:t>JWC202</w:t>
      </w:r>
      <w:r>
        <w:rPr>
          <w:sz w:val="24"/>
        </w:rPr>
        <w:t>1</w:t>
      </w:r>
      <w:r>
        <w:rPr>
          <w:rFonts w:hint="eastAsia"/>
          <w:sz w:val="24"/>
        </w:rPr>
        <w:t>-0</w:t>
      </w:r>
      <w:r>
        <w:rPr>
          <w:sz w:val="24"/>
        </w:rPr>
        <w:t>61</w:t>
      </w:r>
      <w:bookmarkStart w:id="0" w:name="_GoBack"/>
      <w:bookmarkEnd w:id="0"/>
    </w:p>
    <w:p>
      <w:pPr>
        <w:spacing w:before="156" w:beforeLines="50"/>
        <w:jc w:val="center"/>
        <w:rPr>
          <w:rFonts w:ascii="黑体" w:hAnsi="黑体" w:eastAsia="黑体" w:cs="黑体"/>
          <w:sz w:val="24"/>
        </w:rPr>
      </w:pPr>
      <w:r>
        <w:rPr>
          <w:rFonts w:hint="eastAsia" w:ascii="黑体" w:hAnsi="黑体" w:eastAsia="黑体" w:cs="黑体"/>
          <w:sz w:val="24"/>
        </w:rPr>
        <w:t>中交隧道工程局有限公司</w:t>
      </w:r>
    </w:p>
    <w:p>
      <w:pPr>
        <w:spacing w:before="156" w:beforeLines="50" w:after="156" w:afterLines="50" w:line="360" w:lineRule="auto"/>
        <w:jc w:val="center"/>
        <w:rPr>
          <w:sz w:val="24"/>
        </w:rPr>
      </w:pPr>
      <w:r>
        <w:rPr>
          <w:rFonts w:hint="eastAsia"/>
          <w:sz w:val="24"/>
        </w:rPr>
        <w:t>赵小朋、陈继胜、季洛洛、杨晔、庞亚宁、任亮亮</w:t>
      </w:r>
    </w:p>
    <w:p>
      <w:pPr>
        <w:spacing w:before="156" w:beforeLines="50" w:after="156" w:afterLines="50" w:line="360" w:lineRule="auto"/>
        <w:jc w:val="center"/>
        <w:rPr>
          <w:sz w:val="24"/>
        </w:rPr>
      </w:pPr>
      <w:r>
        <w:rPr>
          <w:rFonts w:hint="eastAsia" w:ascii="黑体" w:hAnsi="黑体" w:eastAsia="黑体" w:cs="黑体"/>
          <w:b/>
          <w:bCs/>
          <w:color w:val="002060"/>
          <w:sz w:val="24"/>
        </w:rPr>
        <w:t>1.成果简介</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1.1技术背景</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南通市城市轨道交通1号线一期工程土建施工 07标位于南通市经济开发区，沿通盛大道主干道布设，起始里程为K38+939.5，终点里程为K41+859.1共长2919.6M，含2车站2区间。车站分别为能达商务区站（288</w:t>
      </w:r>
      <w:r>
        <w:rPr>
          <w:rFonts w:ascii="宋体" w:hAnsi="宋体" w:eastAsia="宋体" w:cs="宋体"/>
          <w:color w:val="000000"/>
          <w:sz w:val="22"/>
          <w:szCs w:val="22"/>
        </w:rPr>
        <w:t>m</w:t>
      </w:r>
      <w:r>
        <w:rPr>
          <w:rFonts w:hint="eastAsia" w:ascii="宋体" w:hAnsi="宋体" w:eastAsia="宋体" w:cs="宋体"/>
          <w:color w:val="000000"/>
          <w:sz w:val="22"/>
          <w:szCs w:val="22"/>
        </w:rPr>
        <w:t>）、振兴路站（470</w:t>
      </w:r>
      <w:r>
        <w:rPr>
          <w:rFonts w:ascii="宋体" w:hAnsi="宋体" w:eastAsia="宋体" w:cs="宋体"/>
          <w:color w:val="000000"/>
          <w:sz w:val="22"/>
          <w:szCs w:val="22"/>
        </w:rPr>
        <w:t>m</w:t>
      </w:r>
      <w:r>
        <w:rPr>
          <w:rFonts w:hint="eastAsia" w:ascii="宋体" w:hAnsi="宋体" w:eastAsia="宋体" w:cs="宋体"/>
          <w:color w:val="000000"/>
          <w:sz w:val="22"/>
          <w:szCs w:val="22"/>
        </w:rPr>
        <w:t>）；区间为宏兴路站～能达商务区站区间（1059</w:t>
      </w:r>
      <w:r>
        <w:rPr>
          <w:rFonts w:ascii="宋体" w:hAnsi="宋体" w:eastAsia="宋体" w:cs="宋体"/>
          <w:color w:val="000000"/>
          <w:sz w:val="22"/>
          <w:szCs w:val="22"/>
        </w:rPr>
        <w:t>m</w:t>
      </w:r>
      <w:r>
        <w:rPr>
          <w:rFonts w:hint="eastAsia" w:ascii="宋体" w:hAnsi="宋体" w:eastAsia="宋体" w:cs="宋体"/>
          <w:color w:val="000000"/>
          <w:sz w:val="22"/>
          <w:szCs w:val="22"/>
        </w:rPr>
        <w:t>）、能达商务区站～振兴路站区间（1158</w:t>
      </w:r>
      <w:r>
        <w:rPr>
          <w:rFonts w:ascii="宋体" w:hAnsi="宋体" w:eastAsia="宋体" w:cs="宋体"/>
          <w:color w:val="000000"/>
          <w:sz w:val="22"/>
          <w:szCs w:val="22"/>
        </w:rPr>
        <w:t>m</w:t>
      </w:r>
      <w:r>
        <w:rPr>
          <w:rFonts w:hint="eastAsia" w:ascii="宋体" w:hAnsi="宋体" w:eastAsia="宋体" w:cs="宋体"/>
          <w:color w:val="000000"/>
          <w:sz w:val="22"/>
          <w:szCs w:val="22"/>
        </w:rPr>
        <w:t>）。车站采用明挖顺作法施工，区间采用盾构法施工。</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砂浆搅拌罐是地铁盾构施工中必不可少的设备，管道堵塞是经常遇到的现象，需要人员进行疏通，在人员进入砂浆搅拌罐清理的过程中由于防护不到位或者外部人员误触操作情况下容易启动搅拌罐电源开关造成清理人员受到伤害，造成安全事故。</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本项目经过摸索改进，对砂浆搅拌罐上部全部用铁网焊接，预留可活动专用进仓口，四周安装防护栏杆，在可活动的进仓门安装搅拌罐进仓限位，保证人员在进仓清理时电源自动切断随即搅拌自动停止，有效防止了外部人员误操作启动搅拌罐电源造成人员受伤。经过南通地铁1号线项目实践证明该装置能够保证人员在清理砂浆罐时的人身安全，极大的消除安全隐患。</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1.2解决的主要问题</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（1）解决砂浆搅拌罐防护不到位、人员可能坠落的问题。</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（2）解决由于无关人员误触搅拌罐电源开关造成的机械伤害问题。</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1.3适用范围</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成果可应用于公路隧道开挖构筑施工。</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1.4技术特点</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（1）砂浆搅拌罐上方敞口能够通过焊接的铁网形成全封闭状态，将人员坠落至砂浆罐的风险降低到零。</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（2）通过在搅拌罐上方封闭铁网上开口形成预留进仓门，进仓门下方安装限位触发器，一旦进仓门打开，将自动断电，将搅拌罐电源误触造成的机械伤害降低到零。</w:t>
      </w:r>
    </w:p>
    <w:p>
      <w:pPr>
        <w:spacing w:line="312" w:lineRule="auto"/>
        <w:ind w:firstLine="440" w:firstLineChars="200"/>
        <w:rPr>
          <w:rFonts w:ascii="宋体" w:hAnsi="宋体" w:eastAsia="宋体" w:cs="宋体"/>
          <w:color w:val="000000"/>
          <w:sz w:val="22"/>
          <w:szCs w:val="22"/>
        </w:rPr>
      </w:pPr>
    </w:p>
    <w:p>
      <w:pPr>
        <w:pStyle w:val="5"/>
        <w:spacing w:after="0"/>
        <w:ind w:firstLine="0" w:firstLineChars="0"/>
        <w:jc w:val="center"/>
        <w:rPr>
          <w:sz w:val="28"/>
          <w:szCs w:val="28"/>
        </w:rPr>
      </w:pPr>
      <w:r>
        <w:rPr>
          <w:sz w:val="28"/>
          <w:szCs w:val="28"/>
        </w:rPr>
        <w:drawing>
          <wp:inline distT="0" distB="0" distL="0" distR="0">
            <wp:extent cx="2383155" cy="1795780"/>
            <wp:effectExtent l="19050" t="19050" r="17145" b="13970"/>
            <wp:docPr id="3" name="图片 3" descr="a0d1aabd21db9a03761286ff7ce9b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0d1aabd21db9a03761286ff7ce9b9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385606" cy="1797594"/>
                    </a:xfrm>
                    <a:prstGeom prst="rect">
                      <a:avLst/>
                    </a:prstGeom>
                    <a:noFill/>
                    <a:ln w="9525" cmpd="sng">
                      <a:solidFill>
                        <a:srgbClr val="00B0F0"/>
                      </a:solidFill>
                      <a:miter lim="800000"/>
                      <a:headEnd/>
                      <a:tailEnd/>
                    </a:ln>
                    <a:effectLst/>
                  </pic:spPr>
                </pic:pic>
              </a:graphicData>
            </a:graphic>
          </wp:inline>
        </w:drawing>
      </w:r>
      <w:r>
        <w:rPr>
          <w:sz w:val="28"/>
          <w:szCs w:val="28"/>
        </w:rPr>
        <w:t xml:space="preserve">  </w:t>
      </w:r>
      <w:r>
        <w:rPr>
          <w:sz w:val="28"/>
          <w:szCs w:val="28"/>
        </w:rPr>
        <w:drawing>
          <wp:inline distT="0" distB="0" distL="0" distR="0">
            <wp:extent cx="1346200" cy="1795780"/>
            <wp:effectExtent l="19050" t="19050" r="25400" b="13970"/>
            <wp:docPr id="2" name="图片 2" descr="0875455c2bf720b9cca03a84a525c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875455c2bf720b9cca03a84a525c3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350063" cy="1800429"/>
                    </a:xfrm>
                    <a:prstGeom prst="rect">
                      <a:avLst/>
                    </a:prstGeom>
                    <a:noFill/>
                    <a:ln w="9525" cmpd="sng">
                      <a:solidFill>
                        <a:srgbClr val="00B0F0"/>
                      </a:solidFill>
                      <a:miter lim="800000"/>
                      <a:headEnd/>
                      <a:tailEnd/>
                    </a:ln>
                    <a:effectLst/>
                  </pic:spPr>
                </pic:pic>
              </a:graphicData>
            </a:graphic>
          </wp:inline>
        </w:drawing>
      </w:r>
    </w:p>
    <w:p>
      <w:pPr>
        <w:pStyle w:val="5"/>
        <w:spacing w:after="0"/>
        <w:ind w:firstLine="0" w:firstLineChars="0"/>
        <w:jc w:val="center"/>
        <w:rPr>
          <w:sz w:val="28"/>
          <w:szCs w:val="28"/>
        </w:rPr>
      </w:pPr>
      <w:r>
        <w:rPr>
          <w:rFonts w:hint="eastAsia" w:ascii="宋体" w:hAnsi="宋体" w:eastAsia="宋体" w:cs="宋体"/>
          <w:b/>
          <w:bCs/>
          <w:color w:val="000000"/>
          <w:sz w:val="22"/>
          <w:szCs w:val="22"/>
        </w:rPr>
        <w:t>图1</w:t>
      </w:r>
      <w:r>
        <w:rPr>
          <w:rFonts w:ascii="宋体" w:hAnsi="宋体" w:eastAsia="宋体" w:cs="宋体"/>
          <w:b/>
          <w:bCs/>
          <w:color w:val="000000"/>
          <w:sz w:val="22"/>
          <w:szCs w:val="22"/>
        </w:rPr>
        <w:t xml:space="preserve"> </w:t>
      </w:r>
      <w:r>
        <w:rPr>
          <w:rFonts w:hint="eastAsia" w:ascii="宋体" w:hAnsi="宋体" w:eastAsia="宋体" w:cs="宋体"/>
          <w:b/>
          <w:bCs/>
          <w:color w:val="000000"/>
          <w:sz w:val="22"/>
          <w:szCs w:val="22"/>
        </w:rPr>
        <w:t>进仓限位开关现场实施图</w:t>
      </w:r>
    </w:p>
    <w:p>
      <w:pPr>
        <w:spacing w:before="156" w:beforeLines="50" w:after="156"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2.技术内容</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w:t>
      </w:r>
      <w:r>
        <w:rPr>
          <w:rFonts w:ascii="宋体" w:hAnsi="宋体" w:eastAsia="宋体" w:cs="宋体"/>
          <w:b/>
          <w:bCs/>
          <w:sz w:val="22"/>
          <w:szCs w:val="22"/>
        </w:rPr>
        <w:t>1</w:t>
      </w:r>
      <w:r>
        <w:rPr>
          <w:rFonts w:hint="eastAsia" w:ascii="宋体" w:hAnsi="宋体" w:eastAsia="宋体" w:cs="宋体"/>
          <w:b/>
          <w:bCs/>
          <w:sz w:val="22"/>
          <w:szCs w:val="22"/>
        </w:rPr>
        <w:t>结构特点</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（1）砂浆搅拌罐上方敞口能够通过焊接的铁网形成全封闭状态，将人员坠落至砂浆罐的风险降低到零。</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（2）通过在搅拌罐上方封闭铁网上开口形成预留进仓门，进仓门下方安装限位触发器，一旦进仓门打开，将自动断电，将搅拌罐电源误触造成的机械伤害降低到零。</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w:t>
      </w:r>
      <w:r>
        <w:rPr>
          <w:rFonts w:ascii="宋体" w:hAnsi="宋体" w:eastAsia="宋体" w:cs="宋体"/>
          <w:b/>
          <w:bCs/>
          <w:sz w:val="22"/>
          <w:szCs w:val="22"/>
        </w:rPr>
        <w:t>2</w:t>
      </w:r>
      <w:r>
        <w:rPr>
          <w:rFonts w:hint="eastAsia" w:ascii="宋体" w:hAnsi="宋体" w:eastAsia="宋体" w:cs="宋体"/>
          <w:b/>
          <w:bCs/>
          <w:sz w:val="22"/>
          <w:szCs w:val="22"/>
        </w:rPr>
        <w:t>工艺流程</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（1）在搅拌搅拌罐上部全部安装防护栏，高度为1.2米，平台用铁网全部焊接在砂浆搅拌罐上，预留可活动专用进仓门，防止人员掉落至砂浆搅拌罐内，保证人员安全。</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2）人员只能从可活动的进仓门进入砂浆搅拌罐内清理，活动的进仓门翻板下方安装限位触发器，只要进仓门翻板打开，砂浆搅拌罐将会自动断电停止搅拌。防止人员在清理时外部人员误操作打开搅拌罐电源开关造成人员伤害。</w:t>
      </w:r>
    </w:p>
    <w:p>
      <w:pPr>
        <w:pStyle w:val="5"/>
        <w:spacing w:after="0"/>
        <w:ind w:firstLine="0" w:firstLineChars="0"/>
        <w:jc w:val="center"/>
      </w:pPr>
      <w:r>
        <w:drawing>
          <wp:inline distT="0" distB="0" distL="0" distR="0">
            <wp:extent cx="4646930" cy="1767205"/>
            <wp:effectExtent l="19050" t="19050" r="20320" b="234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646930" cy="1767205"/>
                    </a:xfrm>
                    <a:prstGeom prst="rect">
                      <a:avLst/>
                    </a:prstGeom>
                    <a:noFill/>
                    <a:ln w="9525" cmpd="sng">
                      <a:solidFill>
                        <a:srgbClr val="4472C4"/>
                      </a:solidFill>
                      <a:miter lim="800000"/>
                      <a:headEnd/>
                      <a:tailEnd/>
                    </a:ln>
                    <a:effectLst/>
                  </pic:spPr>
                </pic:pic>
              </a:graphicData>
            </a:graphic>
          </wp:inline>
        </w:drawing>
      </w:r>
    </w:p>
    <w:p>
      <w:pPr>
        <w:jc w:val="center"/>
        <w:rPr>
          <w:rFonts w:ascii="宋体" w:hAnsi="宋体" w:eastAsia="宋体" w:cs="宋体"/>
          <w:b/>
          <w:bCs/>
          <w:color w:val="000000"/>
          <w:sz w:val="22"/>
          <w:szCs w:val="22"/>
        </w:rPr>
      </w:pPr>
      <w:r>
        <w:rPr>
          <w:rFonts w:hint="eastAsia" w:ascii="宋体" w:hAnsi="宋体" w:eastAsia="宋体" w:cs="宋体"/>
          <w:b/>
          <w:bCs/>
          <w:color w:val="000000"/>
          <w:sz w:val="22"/>
          <w:szCs w:val="22"/>
        </w:rPr>
        <w:t>图2</w:t>
      </w:r>
      <w:r>
        <w:rPr>
          <w:rFonts w:ascii="宋体" w:hAnsi="宋体" w:eastAsia="宋体" w:cs="宋体"/>
          <w:b/>
          <w:bCs/>
          <w:color w:val="000000"/>
          <w:sz w:val="22"/>
          <w:szCs w:val="22"/>
        </w:rPr>
        <w:t xml:space="preserve"> </w:t>
      </w:r>
      <w:r>
        <w:rPr>
          <w:rFonts w:hint="eastAsia" w:ascii="宋体" w:hAnsi="宋体" w:eastAsia="宋体" w:cs="宋体"/>
          <w:b/>
          <w:bCs/>
          <w:color w:val="000000"/>
          <w:sz w:val="22"/>
          <w:szCs w:val="22"/>
        </w:rPr>
        <w:t>进仓限位装置示意图</w:t>
      </w:r>
    </w:p>
    <w:p>
      <w:pPr>
        <w:spacing w:before="156" w:beforeLines="50" w:after="156"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3.应用效果</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进仓限位装置的利用，实现了砂浆罐上部开口整体的封闭，将作业人员坠落至砂浆罐的风险降低到了最低。同时在封闭的基础上，设置专门的进仓门，满足砂浆罐清理的需要，在进仓门位置设置限位触发器，有效避免了由于无关人员误触砂浆罐电源开关造成的机械伤害事故。</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该装置在南通地铁1号线项目进行了研究，在盾构施工前多次进行了反复试验与模拟，并在项目上得到了成功运用，有效的防止有砂浆搅拌罐伤人事故的发生，减小了安全隐患，得到了作业人员的赞赏及满意度。该装置安装及操作简单，可在公司其他项目推广使用。H型钢对接接头固定架的使用，有效的缩短了H型钢对接调整的时间，有效提高施工效率，缩短总体工期，有效减少机械租赁费用、人工费用、场地文明施工费用。</w:t>
      </w:r>
    </w:p>
    <w:p>
      <w:pPr>
        <w:spacing w:before="156" w:beforeLines="50" w:after="156"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4.推广应用前景</w:t>
      </w:r>
    </w:p>
    <w:p>
      <w:pPr>
        <w:spacing w:line="312" w:lineRule="auto"/>
        <w:ind w:firstLine="440" w:firstLineChars="200"/>
        <w:rPr>
          <w:rFonts w:ascii="宋体" w:hAnsi="宋体" w:eastAsia="宋体" w:cs="宋体"/>
          <w:color w:val="000000"/>
          <w:sz w:val="22"/>
          <w:szCs w:val="22"/>
        </w:rPr>
      </w:pPr>
      <w:r>
        <w:rPr>
          <w:rFonts w:hint="eastAsia" w:ascii="宋体" w:hAnsi="宋体" w:eastAsia="宋体" w:cs="宋体"/>
          <w:color w:val="000000"/>
          <w:sz w:val="22"/>
          <w:szCs w:val="22"/>
        </w:rPr>
        <w:t>砂浆搅拌罐、自建搅拌站属于工程施工中的常用设备，也是安全事故频发的设备，对本项目而言，对搅拌设备的改进极大的消除了人员在工作中的安全隐患。在目前安全形势严峻的情况下值得各项目大力推广，共同为安全施工生产保驾护航。</w:t>
      </w:r>
    </w:p>
    <w:sectPr>
      <w:headerReference r:id="rId3" w:type="default"/>
      <w:footerReference r:id="rId4" w:type="default"/>
      <w:pgSz w:w="11906" w:h="16838"/>
      <w:pgMar w:top="1440" w:right="1080" w:bottom="1440" w:left="1080" w:header="1134" w:footer="119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3"/>
                      <w:jc w:val="cente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ascii="黑体" w:hAnsi="黑体" w:eastAsia="黑体" w:cs="黑体"/>
      </w:rPr>
    </w:pPr>
    <w:r>
      <w:pict>
        <v:shape id="PowerPlusWaterMarkObject188469" o:spid="_x0000_s3073" o:spt="136" type="#_x0000_t136" style="position:absolute;left:0pt;height:59.75pt;width:629.3pt;mso-position-horizontal:center;mso-position-horizontal-relative:margin;mso-position-vertical:center;mso-position-vertical-relative:margin;rotation:-2949120f;z-index:-251656192;mso-width-relative:page;mso-height-relative:page;" fillcolor="#C0C0C0" filled="t" stroked="f" coordsize="21600,21600">
          <v:path/>
          <v:fill on="t" opacity="32768f" focussize="0,0"/>
          <v:stroke on="f"/>
          <v:imagedata o:title=""/>
          <o:lock v:ext="edit" aspectratio="t"/>
          <v:textpath on="t" fitshape="t" fitpath="t" trim="t" xscale="f" string="CHCA中国公路建设行业协会" style="font-family:仿宋_GB2312;font-size:36pt;v-text-align:center;"/>
        </v:shape>
      </w:pict>
    </w:r>
    <w:r>
      <w:rPr>
        <w:rFonts w:hint="eastAsia" w:ascii="黑体" w:hAnsi="黑体" w:eastAsia="黑体" w:cs="黑体"/>
      </w:rPr>
      <w:t>2021年度交通建设“微创新”成果展示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YzgzZDUwZDEwZDU4MzM4M2ZmYmZkYTlmMDVlZGIifQ=="/>
  </w:docVars>
  <w:rsids>
    <w:rsidRoot w:val="44DE38B5"/>
    <w:rsid w:val="0005682D"/>
    <w:rsid w:val="000631A9"/>
    <w:rsid w:val="00307AF5"/>
    <w:rsid w:val="00414B2F"/>
    <w:rsid w:val="004640A1"/>
    <w:rsid w:val="005C2B4A"/>
    <w:rsid w:val="00615E4B"/>
    <w:rsid w:val="0066632A"/>
    <w:rsid w:val="007C4AAA"/>
    <w:rsid w:val="008F4689"/>
    <w:rsid w:val="008F4F10"/>
    <w:rsid w:val="00BA3646"/>
    <w:rsid w:val="00DE79F8"/>
    <w:rsid w:val="03A569EC"/>
    <w:rsid w:val="07AA1F88"/>
    <w:rsid w:val="0A96278F"/>
    <w:rsid w:val="0D49663A"/>
    <w:rsid w:val="0D8B43D2"/>
    <w:rsid w:val="0E9B0EE5"/>
    <w:rsid w:val="0F3166BA"/>
    <w:rsid w:val="10D91F69"/>
    <w:rsid w:val="12D009BC"/>
    <w:rsid w:val="143B047A"/>
    <w:rsid w:val="144D6C44"/>
    <w:rsid w:val="164474E4"/>
    <w:rsid w:val="16804FD6"/>
    <w:rsid w:val="1A9116DB"/>
    <w:rsid w:val="1AC32964"/>
    <w:rsid w:val="1B8B65A8"/>
    <w:rsid w:val="1B930E93"/>
    <w:rsid w:val="1B991BC3"/>
    <w:rsid w:val="1BA050D2"/>
    <w:rsid w:val="1D4F301A"/>
    <w:rsid w:val="1F01392E"/>
    <w:rsid w:val="1FF362E9"/>
    <w:rsid w:val="21FC1C07"/>
    <w:rsid w:val="23DA0054"/>
    <w:rsid w:val="240466DC"/>
    <w:rsid w:val="252A4CBA"/>
    <w:rsid w:val="274F6D77"/>
    <w:rsid w:val="281B4728"/>
    <w:rsid w:val="29004B2D"/>
    <w:rsid w:val="2A1942FF"/>
    <w:rsid w:val="2A28776A"/>
    <w:rsid w:val="2BAB03CF"/>
    <w:rsid w:val="2BD43C14"/>
    <w:rsid w:val="2C160718"/>
    <w:rsid w:val="2E4F0C34"/>
    <w:rsid w:val="2FC127BE"/>
    <w:rsid w:val="30D20F4E"/>
    <w:rsid w:val="33D2657B"/>
    <w:rsid w:val="35431E90"/>
    <w:rsid w:val="35496C49"/>
    <w:rsid w:val="37152903"/>
    <w:rsid w:val="374C7490"/>
    <w:rsid w:val="37DD407E"/>
    <w:rsid w:val="38DE08C5"/>
    <w:rsid w:val="39282A8A"/>
    <w:rsid w:val="393A381B"/>
    <w:rsid w:val="39580101"/>
    <w:rsid w:val="39673D33"/>
    <w:rsid w:val="3AC77F71"/>
    <w:rsid w:val="3BCC0E66"/>
    <w:rsid w:val="3BD34656"/>
    <w:rsid w:val="3E18718B"/>
    <w:rsid w:val="3F92266E"/>
    <w:rsid w:val="401716E8"/>
    <w:rsid w:val="40E574E6"/>
    <w:rsid w:val="41780276"/>
    <w:rsid w:val="42F85996"/>
    <w:rsid w:val="43511AA8"/>
    <w:rsid w:val="43D34118"/>
    <w:rsid w:val="448D0F53"/>
    <w:rsid w:val="44DE38B5"/>
    <w:rsid w:val="46765F73"/>
    <w:rsid w:val="46F9221A"/>
    <w:rsid w:val="47730927"/>
    <w:rsid w:val="47B732C0"/>
    <w:rsid w:val="48EE4383"/>
    <w:rsid w:val="4A41440D"/>
    <w:rsid w:val="4DE1130A"/>
    <w:rsid w:val="4F403202"/>
    <w:rsid w:val="54C61215"/>
    <w:rsid w:val="5709702F"/>
    <w:rsid w:val="5814240D"/>
    <w:rsid w:val="59EC4EE4"/>
    <w:rsid w:val="5B296730"/>
    <w:rsid w:val="5D074DE8"/>
    <w:rsid w:val="5DD031A6"/>
    <w:rsid w:val="5F2B6F1B"/>
    <w:rsid w:val="61B92F94"/>
    <w:rsid w:val="62BD472F"/>
    <w:rsid w:val="63D15422"/>
    <w:rsid w:val="644D659F"/>
    <w:rsid w:val="65906DBA"/>
    <w:rsid w:val="663075FA"/>
    <w:rsid w:val="684725D9"/>
    <w:rsid w:val="692340AF"/>
    <w:rsid w:val="69A179D9"/>
    <w:rsid w:val="69A85122"/>
    <w:rsid w:val="6B4677C2"/>
    <w:rsid w:val="6E08300B"/>
    <w:rsid w:val="703C7978"/>
    <w:rsid w:val="71663954"/>
    <w:rsid w:val="71DB5478"/>
    <w:rsid w:val="71E013C2"/>
    <w:rsid w:val="758374EC"/>
    <w:rsid w:val="7719666B"/>
    <w:rsid w:val="79254F87"/>
    <w:rsid w:val="796F0760"/>
    <w:rsid w:val="7A155EA4"/>
    <w:rsid w:val="7A8A280C"/>
    <w:rsid w:val="7CC4758A"/>
    <w:rsid w:val="7E0043A1"/>
    <w:rsid w:val="7E453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Body Text First Indent"/>
    <w:basedOn w:val="2"/>
    <w:link w:val="9"/>
    <w:qFormat/>
    <w:uiPriority w:val="99"/>
    <w:pPr>
      <w:ind w:firstLine="420" w:firstLineChars="100"/>
    </w:pPr>
  </w:style>
  <w:style w:type="character" w:customStyle="1" w:styleId="8">
    <w:name w:val="正文文本 字符"/>
    <w:basedOn w:val="7"/>
    <w:link w:val="2"/>
    <w:uiPriority w:val="0"/>
    <w:rPr>
      <w:rFonts w:eastAsia="仿宋_GB2312"/>
      <w:kern w:val="2"/>
      <w:sz w:val="32"/>
      <w:szCs w:val="24"/>
    </w:rPr>
  </w:style>
  <w:style w:type="character" w:customStyle="1" w:styleId="9">
    <w:name w:val="正文文本首行缩进 字符"/>
    <w:basedOn w:val="8"/>
    <w:link w:val="5"/>
    <w:qFormat/>
    <w:uiPriority w:val="99"/>
    <w:rPr>
      <w:rFonts w:eastAsia="仿宋_GB2312"/>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1482</Words>
  <Characters>1547</Characters>
  <Lines>11</Lines>
  <Paragraphs>3</Paragraphs>
  <TotalTime>109</TotalTime>
  <ScaleCrop>false</ScaleCrop>
  <LinksUpToDate>false</LinksUpToDate>
  <CharactersWithSpaces>1556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2021-06-02T06:49:00Z</dcterms:created>
  <dc:creator>anda</dc:creator>
  <cp:lastModifiedBy>叫一声  佛祖</cp:lastModifiedBy>
  <dcterms:modified xsi:type="dcterms:W3CDTF">2022-10-14T01:20:27Z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0E401E2A32414DBB83094D62FBB6E074</vt:lpwstr>
  </property>
</Properties>
</file>