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88" w:lineRule="auto"/>
        <w:rPr>
          <w:rFonts w:ascii="宋体" w:hAnsi="宋体" w:eastAsia="宋体" w:cs="宋体"/>
          <w:b/>
          <w:bCs/>
          <w:color w:val="000000"/>
          <w:sz w:val="21"/>
          <w:szCs w:val="21"/>
        </w:rPr>
      </w:pPr>
    </w:p>
    <w:p>
      <w:pPr>
        <w:snapToGrid w:val="0"/>
        <w:spacing w:line="288" w:lineRule="auto"/>
        <w:rPr>
          <w:rFonts w:hint="eastAsia" w:ascii="宋体" w:hAnsi="宋体" w:eastAsia="宋体" w:cs="宋体"/>
          <w:color w:val="000000"/>
          <w:sz w:val="21"/>
          <w:szCs w:val="21"/>
          <w:lang w:val="en-US" w:eastAsia="zh-CN"/>
        </w:rPr>
      </w:pPr>
      <w:r>
        <w:rPr>
          <w:rFonts w:hint="eastAsia" w:ascii="宋体" w:hAnsi="宋体" w:eastAsia="宋体" w:cs="宋体"/>
          <w:b/>
          <w:bCs/>
          <w:color w:val="000000"/>
          <w:sz w:val="21"/>
          <w:szCs w:val="21"/>
        </w:rPr>
        <w:t>[类  型]</w:t>
      </w:r>
      <w:r>
        <w:rPr>
          <w:rFonts w:hint="eastAsia" w:ascii="宋体" w:hAnsi="宋体" w:eastAsia="宋体" w:cs="宋体"/>
          <w:color w:val="000000"/>
          <w:sz w:val="21"/>
          <w:szCs w:val="21"/>
        </w:rPr>
        <w:t>机具设备</w:t>
      </w:r>
      <w:r>
        <w:rPr>
          <w:rFonts w:hint="eastAsia" w:ascii="宋体" w:hAnsi="宋体" w:eastAsia="宋体" w:cs="宋体"/>
          <w:color w:val="000000"/>
          <w:sz w:val="21"/>
          <w:szCs w:val="21"/>
          <w:lang w:val="en-US" w:eastAsia="zh-CN"/>
        </w:rPr>
        <w:t>微改造</w:t>
      </w:r>
    </w:p>
    <w:p>
      <w:pPr>
        <w:snapToGrid w:val="0"/>
        <w:spacing w:line="288" w:lineRule="auto"/>
        <w:rPr>
          <w:rFonts w:hint="eastAsia" w:ascii="宋体" w:hAnsi="宋体" w:eastAsia="宋体" w:cs="宋体"/>
          <w:color w:val="000000"/>
          <w:sz w:val="21"/>
          <w:szCs w:val="21"/>
          <w:lang w:eastAsia="zh-CN"/>
        </w:rPr>
      </w:pPr>
      <w:r>
        <w:rPr>
          <w:rFonts w:hint="eastAsia" w:ascii="宋体" w:hAnsi="宋体" w:eastAsia="宋体" w:cs="宋体"/>
          <w:b/>
          <w:bCs/>
          <w:color w:val="000000"/>
          <w:sz w:val="21"/>
          <w:szCs w:val="21"/>
        </w:rPr>
        <w:t>[关键词]</w:t>
      </w:r>
      <w:r>
        <w:rPr>
          <w:rFonts w:hint="eastAsia" w:ascii="宋体" w:hAnsi="宋体" w:eastAsia="宋体" w:cs="宋体"/>
          <w:color w:val="000000"/>
          <w:sz w:val="21"/>
          <w:szCs w:val="21"/>
          <w:lang w:eastAsia="zh-CN"/>
        </w:rPr>
        <w:t>箱梁底模</w:t>
      </w:r>
      <w:r>
        <w:rPr>
          <w:rFonts w:hint="eastAsia" w:ascii="宋体" w:hAnsi="宋体" w:eastAsia="宋体" w:cs="宋体"/>
          <w:color w:val="000000"/>
          <w:sz w:val="21"/>
          <w:szCs w:val="21"/>
        </w:rPr>
        <w:t>，</w:t>
      </w:r>
      <w:r>
        <w:rPr>
          <w:rFonts w:hint="eastAsia" w:ascii="宋体" w:hAnsi="宋体" w:eastAsia="宋体" w:cs="宋体"/>
          <w:color w:val="000000"/>
          <w:sz w:val="21"/>
          <w:szCs w:val="21"/>
          <w:lang w:eastAsia="zh-CN"/>
        </w:rPr>
        <w:t>振动底胎</w:t>
      </w:r>
      <w:r>
        <w:rPr>
          <w:rFonts w:hint="eastAsia" w:ascii="宋体" w:hAnsi="宋体" w:eastAsia="宋体" w:cs="宋体"/>
          <w:color w:val="000000"/>
          <w:sz w:val="21"/>
          <w:szCs w:val="21"/>
        </w:rPr>
        <w:t>，</w:t>
      </w:r>
      <w:r>
        <w:rPr>
          <w:rFonts w:hint="eastAsia" w:ascii="宋体" w:hAnsi="宋体" w:eastAsia="宋体" w:cs="宋体"/>
          <w:color w:val="000000"/>
          <w:sz w:val="21"/>
          <w:szCs w:val="21"/>
          <w:lang w:eastAsia="zh-CN"/>
        </w:rPr>
        <w:t>绿色环保</w:t>
      </w:r>
    </w:p>
    <w:p>
      <w:pPr>
        <w:snapToGrid w:val="0"/>
        <w:rPr>
          <w:rFonts w:ascii="方正小标宋简体" w:hAnsi="方正小标宋简体" w:eastAsia="方正小标宋简体" w:cs="方正小标宋简体"/>
          <w:color w:val="000000"/>
          <w:sz w:val="21"/>
          <w:szCs w:val="21"/>
        </w:rPr>
      </w:pPr>
    </w:p>
    <w:p>
      <w:pPr>
        <w:spacing w:beforeLines="50"/>
        <w:jc w:val="center"/>
        <w:rPr>
          <w:rFonts w:ascii="方正小标宋简体" w:hAnsi="方正小标宋简体" w:eastAsia="方正小标宋简体" w:cs="方正小标宋简体"/>
          <w:color w:val="000000"/>
          <w:szCs w:val="32"/>
        </w:rPr>
      </w:pPr>
      <w:r>
        <w:rPr>
          <w:rFonts w:hint="eastAsia" w:ascii="方正小标宋简体" w:hAnsi="方正小标宋简体" w:eastAsia="方正小标宋简体" w:cs="方正小标宋简体"/>
          <w:color w:val="000000"/>
          <w:szCs w:val="32"/>
        </w:rPr>
        <w:t>一种预制箱梁振动底模</w:t>
      </w:r>
    </w:p>
    <w:p>
      <w:pPr>
        <w:spacing w:beforeLines="50"/>
        <w:jc w:val="center"/>
        <w:rPr>
          <w:rFonts w:hint="default" w:eastAsia="仿宋_GB2312"/>
          <w:sz w:val="24"/>
          <w:lang w:val="en-US" w:eastAsia="zh-CN"/>
        </w:rPr>
      </w:pPr>
      <w:r>
        <w:rPr>
          <w:rFonts w:hint="eastAsia"/>
          <w:sz w:val="24"/>
        </w:rPr>
        <w:t>JWC202</w:t>
      </w:r>
      <w:r>
        <w:rPr>
          <w:rFonts w:hint="eastAsia"/>
          <w:sz w:val="24"/>
          <w:lang w:val="en-US" w:eastAsia="zh-CN"/>
        </w:rPr>
        <w:t>1</w:t>
      </w:r>
      <w:r>
        <w:rPr>
          <w:rFonts w:hint="eastAsia"/>
          <w:sz w:val="24"/>
        </w:rPr>
        <w:t>-</w:t>
      </w:r>
      <w:r>
        <w:rPr>
          <w:rFonts w:hint="eastAsia"/>
          <w:sz w:val="24"/>
          <w:lang w:val="en-US" w:eastAsia="zh-CN"/>
        </w:rPr>
        <w:t>117</w:t>
      </w:r>
    </w:p>
    <w:p>
      <w:pPr>
        <w:spacing w:beforeLines="50"/>
        <w:jc w:val="center"/>
        <w:rPr>
          <w:rFonts w:hint="eastAsia" w:ascii="黑体" w:hAnsi="黑体" w:eastAsia="黑体" w:cs="黑体"/>
          <w:sz w:val="24"/>
        </w:rPr>
      </w:pPr>
      <w:r>
        <w:rPr>
          <w:rFonts w:hint="eastAsia" w:ascii="黑体" w:hAnsi="黑体" w:eastAsia="黑体" w:cs="黑体"/>
          <w:sz w:val="24"/>
        </w:rPr>
        <w:t>河北建设集团股份有限公司</w:t>
      </w:r>
    </w:p>
    <w:p>
      <w:pPr>
        <w:spacing w:beforeLines="50"/>
        <w:jc w:val="center"/>
        <w:rPr>
          <w:rFonts w:hint="eastAsia" w:eastAsia="仿宋_GB2312"/>
          <w:sz w:val="24"/>
          <w:lang w:eastAsia="zh-CN"/>
        </w:rPr>
      </w:pPr>
      <w:r>
        <w:rPr>
          <w:rFonts w:hint="eastAsia"/>
          <w:sz w:val="24"/>
          <w:lang w:eastAsia="zh-CN"/>
        </w:rPr>
        <w:t>李自夺、高朋、郭建晓、武凯伦、刘许博</w:t>
      </w:r>
    </w:p>
    <w:p>
      <w:pPr>
        <w:spacing w:beforeLines="50"/>
        <w:jc w:val="center"/>
        <w:rPr>
          <w:sz w:val="24"/>
        </w:rPr>
      </w:pPr>
    </w:p>
    <w:p>
      <w:pPr>
        <w:spacing w:beforeLines="50" w:afterLines="50" w:line="360" w:lineRule="auto"/>
        <w:jc w:val="center"/>
        <w:rPr>
          <w:rFonts w:ascii="黑体" w:hAnsi="黑体" w:eastAsia="黑体" w:cs="黑体"/>
          <w:b/>
          <w:bCs/>
          <w:color w:val="002060"/>
          <w:sz w:val="24"/>
        </w:rPr>
      </w:pPr>
      <w:r>
        <w:rPr>
          <w:rFonts w:hint="eastAsia" w:ascii="黑体" w:hAnsi="黑体" w:eastAsia="黑体" w:cs="黑体"/>
          <w:b/>
          <w:bCs/>
          <w:color w:val="002060"/>
          <w:sz w:val="24"/>
        </w:rPr>
        <w:t>1.成果简介</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1.1技术背景</w:t>
      </w:r>
    </w:p>
    <w:p>
      <w:pPr>
        <w:spacing w:line="312" w:lineRule="auto"/>
        <w:ind w:firstLine="440" w:firstLineChars="200"/>
        <w:outlineLvl w:val="1"/>
        <w:rPr>
          <w:rFonts w:hint="eastAsia" w:ascii="宋体" w:hAnsi="宋体" w:eastAsia="宋体" w:cs="宋体"/>
          <w:sz w:val="22"/>
          <w:szCs w:val="22"/>
        </w:rPr>
      </w:pPr>
      <w:r>
        <w:rPr>
          <w:rFonts w:hint="eastAsia" w:ascii="宋体" w:hAnsi="宋体" w:eastAsia="宋体" w:cs="宋体"/>
          <w:sz w:val="22"/>
          <w:szCs w:val="22"/>
        </w:rPr>
        <w:t>目前市场上的预制箱梁底模为混凝土浇筑的固定台座，在底模的使用过程中会产生额外的建筑垃圾，对生态环境造成污染。混凝土固定底胎体积大，无法实现循环利用，施工完成后须破碎丢弃从而产生建筑垃圾，对环境造成污染。</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1.2解决的主要问题</w:t>
      </w:r>
    </w:p>
    <w:p>
      <w:pPr>
        <w:spacing w:line="312" w:lineRule="auto"/>
        <w:ind w:firstLine="440" w:firstLineChars="200"/>
        <w:outlineLvl w:val="1"/>
        <w:rPr>
          <w:rFonts w:hint="eastAsia" w:ascii="宋体" w:hAnsi="宋体" w:eastAsia="宋体" w:cs="宋体"/>
          <w:sz w:val="22"/>
          <w:szCs w:val="22"/>
        </w:rPr>
      </w:pPr>
      <w:r>
        <w:rPr>
          <w:rFonts w:hint="eastAsia" w:ascii="宋体" w:hAnsi="宋体" w:eastAsia="宋体" w:cs="宋体"/>
          <w:sz w:val="22"/>
          <w:szCs w:val="22"/>
        </w:rPr>
        <w:t>提供一种预制箱梁振动钢底模，可拆卸、可周转、可重复利用，对环境无污染。</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1.3适用范围</w:t>
      </w:r>
    </w:p>
    <w:p>
      <w:pPr>
        <w:spacing w:line="312" w:lineRule="auto"/>
        <w:ind w:firstLine="440" w:firstLineChars="200"/>
        <w:rPr>
          <w:rFonts w:ascii="宋体" w:hAnsi="宋体" w:eastAsia="宋体" w:cs="宋体"/>
          <w:sz w:val="22"/>
          <w:szCs w:val="22"/>
        </w:rPr>
      </w:pPr>
      <w:r>
        <w:rPr>
          <w:rFonts w:hint="eastAsia" w:ascii="宋体" w:hAnsi="宋体" w:eastAsia="宋体" w:cs="宋体"/>
          <w:color w:val="000000"/>
          <w:sz w:val="22"/>
          <w:szCs w:val="22"/>
        </w:rPr>
        <w:t>本发明提供一种预制箱梁振动底模，可以有效解决上述背景技术中提出的预制箱梁底模为混凝土浇筑的固定台座，且体积巨大，无法实现循环利用，施工完成后须破碎丢弃，从而在底模的使用过程中会产生额外的建筑垃圾，对生态环境造成污染的问题。</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1.4技术特点</w:t>
      </w:r>
    </w:p>
    <w:p>
      <w:pPr>
        <w:spacing w:line="312" w:lineRule="auto"/>
        <w:ind w:firstLine="440" w:firstLineChars="200"/>
        <w:rPr>
          <w:rFonts w:hint="eastAsia" w:ascii="宋体" w:hAnsi="宋体" w:eastAsia="宋体" w:cs="宋体"/>
          <w:color w:val="000000"/>
          <w:sz w:val="22"/>
          <w:szCs w:val="22"/>
        </w:rPr>
      </w:pPr>
      <w:r>
        <w:rPr>
          <w:rFonts w:hint="eastAsia" w:ascii="宋体" w:hAnsi="宋体" w:eastAsia="宋体" w:cs="宋体"/>
          <w:color w:val="000000"/>
          <w:sz w:val="22"/>
          <w:szCs w:val="22"/>
          <w:lang w:eastAsia="zh-CN"/>
        </w:rPr>
        <w:t>①</w:t>
      </w:r>
      <w:r>
        <w:rPr>
          <w:rFonts w:hint="eastAsia" w:ascii="宋体" w:hAnsi="宋体" w:eastAsia="宋体" w:cs="宋体"/>
          <w:color w:val="000000"/>
          <w:sz w:val="22"/>
          <w:szCs w:val="22"/>
        </w:rPr>
        <w:t>通过金属结构代替了传统的混凝土结构，使预制箱梁底模在使用完成后可以进行重复使用，消除了传统底模的使用完成后拆卸所造成的环境污染，提高了该底模的环保性能，满足了绿色施工的要求，同时通过模板的多次周转使用，有效的降低了施工的成本</w:t>
      </w:r>
    </w:p>
    <w:p>
      <w:pPr>
        <w:spacing w:line="312" w:lineRule="auto"/>
        <w:ind w:firstLine="440" w:firstLineChars="200"/>
        <w:rPr>
          <w:rFonts w:hint="eastAsia" w:ascii="宋体" w:hAnsi="宋体" w:eastAsia="宋体" w:cs="宋体"/>
          <w:color w:val="000000"/>
          <w:sz w:val="22"/>
          <w:szCs w:val="22"/>
        </w:rPr>
      </w:pPr>
      <w:r>
        <w:rPr>
          <w:rFonts w:hint="eastAsia" w:ascii="宋体" w:hAnsi="宋体" w:eastAsia="宋体" w:cs="宋体"/>
          <w:color w:val="000000"/>
          <w:sz w:val="22"/>
          <w:szCs w:val="22"/>
          <w:lang w:eastAsia="zh-CN"/>
        </w:rPr>
        <w:t>②</w:t>
      </w:r>
      <w:r>
        <w:rPr>
          <w:rFonts w:hint="eastAsia" w:ascii="宋体" w:hAnsi="宋体" w:eastAsia="宋体" w:cs="宋体"/>
          <w:color w:val="000000"/>
          <w:sz w:val="22"/>
          <w:szCs w:val="22"/>
        </w:rPr>
        <w:t>多组捣振器的设计有效的提高了预制箱梁底部的振捣效果，有效的克服了传统侧面振动方式的局限性，提高了预制箱梁底部的质量</w:t>
      </w:r>
    </w:p>
    <w:p>
      <w:pPr>
        <w:spacing w:line="312" w:lineRule="auto"/>
        <w:ind w:firstLine="440" w:firstLineChars="200"/>
        <w:rPr>
          <w:rFonts w:hint="eastAsia" w:ascii="宋体" w:hAnsi="宋体" w:eastAsia="宋体" w:cs="宋体"/>
          <w:color w:val="000000"/>
          <w:sz w:val="22"/>
          <w:szCs w:val="22"/>
        </w:rPr>
      </w:pPr>
      <w:r>
        <w:rPr>
          <w:rFonts w:hint="eastAsia" w:ascii="宋体" w:hAnsi="宋体" w:eastAsia="宋体" w:cs="宋体"/>
          <w:color w:val="000000"/>
          <w:sz w:val="22"/>
          <w:szCs w:val="22"/>
          <w:lang w:eastAsia="zh-CN"/>
        </w:rPr>
        <w:t>③</w:t>
      </w:r>
      <w:r>
        <w:rPr>
          <w:rFonts w:hint="eastAsia" w:ascii="宋体" w:hAnsi="宋体" w:eastAsia="宋体" w:cs="宋体"/>
          <w:color w:val="000000"/>
          <w:sz w:val="22"/>
          <w:szCs w:val="22"/>
        </w:rPr>
        <w:t>整个底模完全由多个组件之间拼接而成，且底模内部各组件的使用强度各不相同，从而使得在底模内的某个组件报废后，其他组件依然完好，进而在维修过程中可以通过直接更换相应的组件对底模进行维修，降低了底模的维修难度，提高了底模的使用寿命，缩减了底模的使用成本。</w:t>
      </w:r>
    </w:p>
    <w:p>
      <w:pPr>
        <w:spacing w:beforeLines="50" w:afterLines="50" w:line="360" w:lineRule="auto"/>
        <w:jc w:val="center"/>
        <w:rPr>
          <w:rFonts w:hint="eastAsia" w:ascii="黑体" w:hAnsi="黑体" w:eastAsia="黑体" w:cs="黑体"/>
          <w:b/>
          <w:bCs/>
          <w:color w:val="002060"/>
          <w:sz w:val="24"/>
        </w:rPr>
      </w:pPr>
    </w:p>
    <w:p>
      <w:pPr>
        <w:spacing w:beforeLines="50" w:afterLines="50" w:line="360" w:lineRule="auto"/>
        <w:jc w:val="center"/>
        <w:rPr>
          <w:rFonts w:hint="eastAsia" w:ascii="黑体" w:hAnsi="黑体" w:eastAsia="黑体" w:cs="黑体"/>
          <w:b/>
          <w:bCs/>
          <w:color w:val="002060"/>
          <w:sz w:val="24"/>
        </w:rPr>
      </w:pPr>
    </w:p>
    <w:p>
      <w:pPr>
        <w:spacing w:beforeLines="50" w:afterLines="50" w:line="360" w:lineRule="auto"/>
        <w:jc w:val="center"/>
        <w:rPr>
          <w:rFonts w:ascii="黑体" w:hAnsi="黑体" w:eastAsia="黑体" w:cs="黑体"/>
          <w:b/>
          <w:bCs/>
          <w:color w:val="002060"/>
          <w:sz w:val="24"/>
        </w:rPr>
      </w:pPr>
      <w:bookmarkStart w:id="0" w:name="_GoBack"/>
      <w:bookmarkEnd w:id="0"/>
      <w:r>
        <w:rPr>
          <w:rFonts w:hint="eastAsia" w:ascii="黑体" w:hAnsi="黑体" w:eastAsia="黑体" w:cs="黑体"/>
          <w:b/>
          <w:bCs/>
          <w:color w:val="002060"/>
          <w:sz w:val="24"/>
        </w:rPr>
        <w:t>2.技术内容</w:t>
      </w:r>
    </w:p>
    <w:p>
      <w:pPr>
        <w:spacing w:line="312" w:lineRule="auto"/>
        <w:outlineLvl w:val="1"/>
        <w:rPr>
          <w:rFonts w:hint="eastAsia" w:ascii="宋体" w:hAnsi="宋体" w:eastAsia="宋体" w:cs="宋体"/>
          <w:b/>
          <w:bCs/>
          <w:sz w:val="22"/>
          <w:szCs w:val="22"/>
          <w:lang w:val="en-US" w:eastAsia="zh-CN"/>
        </w:rPr>
      </w:pPr>
      <w:r>
        <w:rPr>
          <w:rFonts w:hint="eastAsia" w:ascii="宋体" w:hAnsi="宋体" w:eastAsia="宋体" w:cs="宋体"/>
          <w:b/>
          <w:bCs/>
          <w:sz w:val="22"/>
          <w:szCs w:val="22"/>
        </w:rPr>
        <w:t>2.1</w:t>
      </w:r>
      <w:r>
        <w:rPr>
          <w:rFonts w:hint="eastAsia" w:ascii="宋体" w:hAnsi="宋体" w:eastAsia="宋体" w:cs="宋体"/>
          <w:b/>
          <w:bCs/>
          <w:sz w:val="22"/>
          <w:szCs w:val="22"/>
          <w:lang w:val="en-US" w:eastAsia="zh-CN"/>
        </w:rPr>
        <w:t>关键技术</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b w:val="0"/>
          <w:bCs/>
          <w:sz w:val="22"/>
          <w:szCs w:val="22"/>
          <w:lang w:val="en-US" w:eastAsia="zh-CN"/>
        </w:rPr>
      </w:pPr>
      <w:r>
        <w:rPr>
          <w:rFonts w:hint="eastAsia" w:asciiTheme="minorEastAsia" w:hAnsiTheme="minorEastAsia" w:eastAsiaTheme="minorEastAsia" w:cstheme="minorEastAsia"/>
          <w:b w:val="0"/>
          <w:bCs/>
          <w:sz w:val="22"/>
          <w:szCs w:val="22"/>
          <w:lang w:val="en-US" w:eastAsia="zh-CN"/>
        </w:rPr>
        <w:t>①通过金属结构代替了传统的混凝土结构，使预制箱梁底模在使用完成后可以进行重复使用，消除了传统底模的使用完成后拆卸所造成的环境污染，提高了该底模的环保性能，满足了绿色施工的要求，同时通过模板的多次周转使用，有效的降低了施工的成本.</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b w:val="0"/>
          <w:bCs/>
          <w:sz w:val="22"/>
          <w:szCs w:val="22"/>
          <w:lang w:val="en-US" w:eastAsia="zh-CN"/>
        </w:rPr>
        <w:t>②多组捣振器的设计有效的提高了预制箱梁底部的振捣效果，有效的克服了传统侧面振动方式的局限性，提高了预制箱梁底部的质量。</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Theme="minorEastAsia" w:hAnsiTheme="minorEastAsia" w:eastAsiaTheme="minorEastAsia" w:cstheme="minorEastAsia"/>
          <w:b w:val="0"/>
          <w:bCs/>
          <w:sz w:val="22"/>
          <w:szCs w:val="22"/>
          <w:lang w:val="en-US" w:eastAsia="zh-CN"/>
        </w:rPr>
      </w:pPr>
      <w:r>
        <w:rPr>
          <w:rFonts w:hint="eastAsia" w:asciiTheme="minorEastAsia" w:hAnsiTheme="minorEastAsia" w:eastAsiaTheme="minorEastAsia" w:cstheme="minorEastAsia"/>
          <w:b w:val="0"/>
          <w:bCs/>
          <w:sz w:val="22"/>
          <w:szCs w:val="22"/>
          <w:lang w:val="en-US" w:eastAsia="zh-CN"/>
        </w:rPr>
        <w:t>③整个底模完全由多个组件之间拼接而成，且底模内部各组件的使用强度各不相同，从而使得在底模内的某个组件报废后，其他组件依然完好，进而在维修过程中可以通过直接更换相应的组件对底模进行维修，降低了底模的维修难度，提高了底模的使用寿命，缩减了底模的使用成本。</w:t>
      </w:r>
    </w:p>
    <w:p>
      <w:pPr>
        <w:spacing w:line="312" w:lineRule="auto"/>
        <w:outlineLvl w:val="1"/>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t>2.2操作要点/工艺流程</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Theme="minorEastAsia" w:hAnsiTheme="minorEastAsia" w:eastAsiaTheme="minorEastAsia" w:cstheme="minorEastAsia"/>
          <w:b w:val="0"/>
          <w:bCs/>
          <w:sz w:val="22"/>
          <w:szCs w:val="22"/>
          <w:lang w:val="en-US" w:eastAsia="zh-CN"/>
        </w:rPr>
      </w:pPr>
      <w:r>
        <w:rPr>
          <w:rFonts w:hint="eastAsia" w:asciiTheme="minorEastAsia" w:hAnsiTheme="minorEastAsia" w:eastAsiaTheme="minorEastAsia" w:cstheme="minorEastAsia"/>
          <w:b w:val="0"/>
          <w:bCs/>
          <w:sz w:val="22"/>
          <w:szCs w:val="22"/>
          <w:lang w:val="en-US" w:eastAsia="zh-CN"/>
        </w:rPr>
        <w:t>①设置底模拼接机构，通过将底模面板底部的连接斜块插入到连接方槽内部，使底模面板与外框架顶部相连接，通过转动安装螺栓带动限位圆块与连接斜块相靠近，通过限位圆块对连接斜块进行挤压，使连接斜块与固定斜块之间紧密贴合，同时在固定斜块和连接斜块之间相互挤压的过程中，连接斜块会带动底模面板与外框架之间紧密贴合。</w:t>
      </w:r>
    </w:p>
    <w:p>
      <w:pPr>
        <w:pStyle w:val="2"/>
        <w:jc w:val="center"/>
        <w:rPr>
          <w:rFonts w:hint="eastAsia"/>
          <w:lang w:val="en-US" w:eastAsia="zh-CN"/>
        </w:rPr>
      </w:pPr>
      <w:r>
        <w:drawing>
          <wp:inline distT="0" distB="0" distL="114300" distR="114300">
            <wp:extent cx="4319905" cy="2520315"/>
            <wp:effectExtent l="0" t="0" r="4445" b="13335"/>
            <wp:docPr id="4" name="图片 1"/>
            <wp:cNvGraphicFramePr/>
            <a:graphic xmlns:a="http://schemas.openxmlformats.org/drawingml/2006/main">
              <a:graphicData uri="http://schemas.openxmlformats.org/drawingml/2006/picture">
                <pic:pic xmlns:pic="http://schemas.openxmlformats.org/drawingml/2006/picture">
                  <pic:nvPicPr>
                    <pic:cNvPr id="4" name="图片 1"/>
                    <pic:cNvPicPr/>
                  </pic:nvPicPr>
                  <pic:blipFill>
                    <a:blip r:embed="rId6"/>
                    <a:stretch>
                      <a:fillRect/>
                    </a:stretch>
                  </pic:blipFill>
                  <pic:spPr>
                    <a:xfrm>
                      <a:off x="0" y="0"/>
                      <a:ext cx="4319905" cy="2520315"/>
                    </a:xfrm>
                    <a:prstGeom prst="rect">
                      <a:avLst/>
                    </a:prstGeom>
                    <a:noFill/>
                    <a:ln>
                      <a:noFill/>
                    </a:ln>
                  </pic:spPr>
                </pic:pic>
              </a:graphicData>
            </a:graphic>
          </wp:inline>
        </w:drawing>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jc w:val="left"/>
        <w:textAlignment w:val="auto"/>
        <w:rPr>
          <w:rFonts w:hint="eastAsia" w:ascii="华文中宋" w:hAnsi="华文中宋" w:eastAsia="华文中宋" w:cs="华文中宋"/>
          <w:b w:val="0"/>
          <w:bCs/>
          <w:kern w:val="2"/>
          <w:sz w:val="24"/>
          <w:szCs w:val="24"/>
          <w:lang w:val="en-US" w:eastAsia="zh-CN" w:bidi="ar-SA"/>
        </w:rPr>
      </w:pPr>
      <w:r>
        <w:rPr>
          <w:rFonts w:hint="eastAsia" w:asciiTheme="minorEastAsia" w:hAnsiTheme="minorEastAsia" w:eastAsiaTheme="minorEastAsia" w:cstheme="minorEastAsia"/>
          <w:b w:val="0"/>
          <w:bCs/>
          <w:kern w:val="2"/>
          <w:sz w:val="22"/>
          <w:szCs w:val="22"/>
          <w:lang w:val="en-US" w:eastAsia="zh-CN" w:bidi="ar-SA"/>
        </w:rPr>
        <w:t>②设置安装减震机构，通过安装方板将捣振器安装到横梁的底部，通过均匀设置的捣振器在底模使用过程中提供持续的振动，多组捣振器的设计有效的提高了预制箱梁底部的振捣效果，有效的克服了传统侧面振动方式的局限性，通过防护壳对捣振器外侧进行防护，通过锥形环和散热通槽之间的配合，提高了捣振器运行过程中的散热效率，同时通过锥形环对散热通槽顶部进行防护，防止外界的杂质飘落到防护壳的内部。</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jc w:val="center"/>
        <w:textAlignment w:val="auto"/>
      </w:pPr>
      <w:r>
        <w:drawing>
          <wp:inline distT="0" distB="0" distL="114300" distR="114300">
            <wp:extent cx="4319905" cy="2520315"/>
            <wp:effectExtent l="0" t="0" r="4445" b="13335"/>
            <wp:docPr id="5" name="图片 2"/>
            <wp:cNvGraphicFramePr/>
            <a:graphic xmlns:a="http://schemas.openxmlformats.org/drawingml/2006/main">
              <a:graphicData uri="http://schemas.openxmlformats.org/drawingml/2006/picture">
                <pic:pic xmlns:pic="http://schemas.openxmlformats.org/drawingml/2006/picture">
                  <pic:nvPicPr>
                    <pic:cNvPr id="5" name="图片 2"/>
                    <pic:cNvPicPr/>
                  </pic:nvPicPr>
                  <pic:blipFill>
                    <a:blip r:embed="rId7"/>
                    <a:stretch>
                      <a:fillRect/>
                    </a:stretch>
                  </pic:blipFill>
                  <pic:spPr>
                    <a:xfrm>
                      <a:off x="0" y="0"/>
                      <a:ext cx="4319905" cy="2520315"/>
                    </a:xfrm>
                    <a:prstGeom prst="rect">
                      <a:avLst/>
                    </a:prstGeom>
                    <a:noFill/>
                    <a:ln>
                      <a:noFill/>
                    </a:ln>
                  </pic:spPr>
                </pic:pic>
              </a:graphicData>
            </a:graphic>
          </wp:inline>
        </w:drawing>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ascii="华文中宋" w:hAnsi="华文中宋" w:eastAsia="华文中宋" w:cs="华文中宋"/>
          <w:b w:val="0"/>
          <w:bCs/>
          <w:kern w:val="2"/>
          <w:sz w:val="24"/>
          <w:szCs w:val="24"/>
          <w:lang w:val="en-US" w:eastAsia="zh-CN" w:bidi="ar-SA"/>
        </w:rPr>
      </w:pPr>
      <w:r>
        <w:drawing>
          <wp:anchor distT="0" distB="0" distL="114300" distR="114300" simplePos="0" relativeHeight="251660288" behindDoc="0" locked="0" layoutInCell="1" allowOverlap="1">
            <wp:simplePos x="0" y="0"/>
            <wp:positionH relativeFrom="column">
              <wp:posOffset>500380</wp:posOffset>
            </wp:positionH>
            <wp:positionV relativeFrom="paragraph">
              <wp:posOffset>2489835</wp:posOffset>
            </wp:positionV>
            <wp:extent cx="1979930" cy="1979930"/>
            <wp:effectExtent l="0" t="0" r="1270" b="1270"/>
            <wp:wrapNone/>
            <wp:docPr id="3" name="图片 4"/>
            <wp:cNvGraphicFramePr/>
            <a:graphic xmlns:a="http://schemas.openxmlformats.org/drawingml/2006/main">
              <a:graphicData uri="http://schemas.openxmlformats.org/drawingml/2006/picture">
                <pic:pic xmlns:pic="http://schemas.openxmlformats.org/drawingml/2006/picture">
                  <pic:nvPicPr>
                    <pic:cNvPr id="3" name="图片 4"/>
                    <pic:cNvPicPr/>
                  </pic:nvPicPr>
                  <pic:blipFill>
                    <a:blip r:embed="rId8"/>
                    <a:stretch>
                      <a:fillRect/>
                    </a:stretch>
                  </pic:blipFill>
                  <pic:spPr>
                    <a:xfrm>
                      <a:off x="0" y="0"/>
                      <a:ext cx="1979930" cy="1979930"/>
                    </a:xfrm>
                    <a:prstGeom prst="rect">
                      <a:avLst/>
                    </a:prstGeom>
                    <a:noFill/>
                    <a:ln>
                      <a:noFill/>
                    </a:ln>
                  </pic:spPr>
                </pic:pic>
              </a:graphicData>
            </a:graphic>
          </wp:anchor>
        </w:drawing>
      </w:r>
      <w:r>
        <w:drawing>
          <wp:anchor distT="0" distB="0" distL="114300" distR="114300" simplePos="0" relativeHeight="251661312" behindDoc="0" locked="0" layoutInCell="1" allowOverlap="1">
            <wp:simplePos x="0" y="0"/>
            <wp:positionH relativeFrom="column">
              <wp:posOffset>3120390</wp:posOffset>
            </wp:positionH>
            <wp:positionV relativeFrom="paragraph">
              <wp:posOffset>2474595</wp:posOffset>
            </wp:positionV>
            <wp:extent cx="2520315" cy="1979930"/>
            <wp:effectExtent l="0" t="0" r="13335" b="1270"/>
            <wp:wrapSquare wrapText="bothSides"/>
            <wp:docPr id="6" name="图片 3"/>
            <wp:cNvGraphicFramePr/>
            <a:graphic xmlns:a="http://schemas.openxmlformats.org/drawingml/2006/main">
              <a:graphicData uri="http://schemas.openxmlformats.org/drawingml/2006/picture">
                <pic:pic xmlns:pic="http://schemas.openxmlformats.org/drawingml/2006/picture">
                  <pic:nvPicPr>
                    <pic:cNvPr id="6" name="图片 3"/>
                    <pic:cNvPicPr/>
                  </pic:nvPicPr>
                  <pic:blipFill>
                    <a:blip r:embed="rId9"/>
                    <a:stretch>
                      <a:fillRect/>
                    </a:stretch>
                  </pic:blipFill>
                  <pic:spPr>
                    <a:xfrm>
                      <a:off x="0" y="0"/>
                      <a:ext cx="2520315" cy="1979930"/>
                    </a:xfrm>
                    <a:prstGeom prst="rect">
                      <a:avLst/>
                    </a:prstGeom>
                    <a:noFill/>
                    <a:ln>
                      <a:noFill/>
                    </a:ln>
                  </pic:spPr>
                </pic:pic>
              </a:graphicData>
            </a:graphic>
          </wp:anchor>
        </w:drawing>
      </w:r>
      <w:r>
        <w:rPr>
          <w:rFonts w:hint="eastAsia" w:asciiTheme="minorEastAsia" w:hAnsiTheme="minorEastAsia" w:eastAsiaTheme="minorEastAsia" w:cstheme="minorEastAsia"/>
          <w:b w:val="0"/>
          <w:bCs/>
          <w:kern w:val="2"/>
          <w:sz w:val="22"/>
          <w:szCs w:val="22"/>
          <w:lang w:val="en-US" w:eastAsia="zh-CN" w:bidi="ar-SA"/>
        </w:rPr>
        <w:t>③设置振动防护机构，通过地脚螺栓将下安装杆固定到地面上，通过凸型块、连接壳和固定卡板之间的配合，将上连接杆与下安装杆之间相互连接，通过橡胶套和橡胶片隔断了由上连接杆向下安装杆之间传递的振动，从而有效的避免了底模运行过程中所产生的振动导致地脚螺栓与地面之间出现松动的现象，提高了底模的安装稳定性。通过底模内部各机构间的相互配合，使整个底模完全由多个组件之间拼接而成，在底模的运输过程中可以直接拆卸为零部件进行运行，优化了底模的运行过程，同时由于底模内部各组件的使用强度各不相同，从而使得在底模内的某个组件报废后，其他组件依然完好，进而在维修过程中可以通过直接更换相应的组件对底模进行维修，降低了底模的维修难度，提高了底模的使用寿命，缩减了底模的使用成本</w:t>
      </w:r>
      <w:r>
        <w:rPr>
          <w:rFonts w:hint="eastAsia" w:ascii="华文中宋" w:hAnsi="华文中宋" w:eastAsia="华文中宋" w:cs="华文中宋"/>
          <w:b w:val="0"/>
          <w:bCs/>
          <w:kern w:val="2"/>
          <w:sz w:val="24"/>
          <w:szCs w:val="24"/>
          <w:lang w:val="en-US" w:eastAsia="zh-CN" w:bidi="ar-SA"/>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lang w:val="en-US"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lang w:val="en-US"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lang w:val="en-US"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color w:val="002060"/>
          <w:sz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黑体" w:hAnsi="黑体" w:eastAsia="黑体" w:cs="黑体"/>
          <w:b/>
          <w:bCs/>
          <w:color w:val="002060"/>
          <w:sz w:val="24"/>
        </w:rPr>
      </w:pPr>
      <w:r>
        <w:rPr>
          <w:rFonts w:hint="eastAsia" w:ascii="黑体" w:hAnsi="黑体" w:eastAsia="黑体" w:cs="黑体"/>
          <w:b/>
          <w:bCs/>
          <w:color w:val="002060"/>
          <w:sz w:val="24"/>
        </w:rPr>
        <w:t>4.推广应用前景</w:t>
      </w:r>
    </w:p>
    <w:p>
      <w:pPr>
        <w:spacing w:line="312" w:lineRule="auto"/>
        <w:ind w:firstLine="440" w:firstLineChars="200"/>
        <w:rPr>
          <w:rFonts w:hint="eastAsia" w:ascii="宋体" w:hAnsi="宋体" w:eastAsia="宋体" w:cs="宋体"/>
          <w:color w:val="000000"/>
          <w:sz w:val="22"/>
          <w:szCs w:val="22"/>
        </w:rPr>
      </w:pPr>
      <w:r>
        <w:rPr>
          <w:rFonts w:hint="eastAsia" w:ascii="宋体" w:hAnsi="宋体" w:eastAsia="宋体" w:cs="宋体"/>
          <w:color w:val="000000"/>
          <w:sz w:val="22"/>
          <w:szCs w:val="22"/>
        </w:rPr>
        <w:t>预制箱梁振动底模，可以有效解决预制箱梁底模为混凝土浇筑的固定台座，且体积巨大，无法实现循环利用，施工完成后须破碎丢弃，从而在底模的使用过程中会产生额外的建筑垃圾，对生态环境造成污染的问题，并提高预制箱梁底板的混凝土振捣质量。大大优于传统混凝土底胎的各项性能。在今后工程质量要求越来越高的大趋势下，应用振动钢底胎可更好的保障施工质量。</w:t>
      </w:r>
    </w:p>
    <w:sectPr>
      <w:headerReference r:id="rId3" w:type="default"/>
      <w:footerReference r:id="rId4" w:type="default"/>
      <w:pgSz w:w="11906" w:h="16838"/>
      <w:pgMar w:top="1440" w:right="1080" w:bottom="1440" w:left="1080" w:header="1020" w:footer="1134"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pPr>
                          <w:r>
                            <w:rPr>
                              <w:sz w:val="21"/>
                              <w:szCs w:val="32"/>
                            </w:rPr>
                            <w:fldChar w:fldCharType="begin"/>
                          </w:r>
                          <w:r>
                            <w:rPr>
                              <w:sz w:val="21"/>
                              <w:szCs w:val="32"/>
                            </w:rPr>
                            <w:instrText xml:space="preserve"> PAGE  \* MERGEFORMAT </w:instrText>
                          </w:r>
                          <w:r>
                            <w:rPr>
                              <w:sz w:val="21"/>
                              <w:szCs w:val="32"/>
                            </w:rPr>
                            <w:fldChar w:fldCharType="separate"/>
                          </w:r>
                          <w:r>
                            <w:rPr>
                              <w:sz w:val="21"/>
                              <w:szCs w:val="32"/>
                            </w:rPr>
                            <w:t>- 2 -</w:t>
                          </w:r>
                          <w:r>
                            <w:rPr>
                              <w:sz w:val="21"/>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kX1r85AgAAcQ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DkX1r85AgAAcQQAAA4AAAAAAAAAAQAgAAAAHwEAAGRycy9lMm9Eb2Mu&#10;eG1sUEsFBgAAAAAGAAYAWQEAAMoFAAAAAA==&#10;">
              <v:fill on="f" focussize="0,0"/>
              <v:stroke on="f" weight="0.5pt"/>
              <v:imagedata o:title=""/>
              <o:lock v:ext="edit" aspectratio="f"/>
              <v:textbox inset="0mm,0mm,0mm,0mm" style="mso-fit-shape-to-text:t;">
                <w:txbxContent>
                  <w:p>
                    <w:pPr>
                      <w:pStyle w:val="6"/>
                    </w:pPr>
                    <w:r>
                      <w:rPr>
                        <w:sz w:val="21"/>
                        <w:szCs w:val="32"/>
                      </w:rPr>
                      <w:fldChar w:fldCharType="begin"/>
                    </w:r>
                    <w:r>
                      <w:rPr>
                        <w:sz w:val="21"/>
                        <w:szCs w:val="32"/>
                      </w:rPr>
                      <w:instrText xml:space="preserve"> PAGE  \* MERGEFORMAT </w:instrText>
                    </w:r>
                    <w:r>
                      <w:rPr>
                        <w:sz w:val="21"/>
                        <w:szCs w:val="32"/>
                      </w:rPr>
                      <w:fldChar w:fldCharType="separate"/>
                    </w:r>
                    <w:r>
                      <w:rPr>
                        <w:sz w:val="21"/>
                        <w:szCs w:val="32"/>
                      </w:rPr>
                      <w:t>- 2 -</w:t>
                    </w:r>
                    <w:r>
                      <w:rPr>
                        <w:sz w:val="21"/>
                        <w:szCs w:val="32"/>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1"/>
      </w:pBdr>
      <w:jc w:val="center"/>
      <w:rPr>
        <w:rFonts w:ascii="黑体" w:hAnsi="黑体" w:eastAsia="黑体" w:cs="黑体"/>
      </w:rPr>
    </w:pPr>
    <w:r>
      <w:rPr>
        <w:sz w:val="18"/>
      </w:rPr>
      <w:pict>
        <v:shape id="PowerPlusWaterMarkObject47017" o:spid="_x0000_s1026" o:spt="136" type="#_x0000_t136" style="position:absolute;left:0pt;height:59.75pt;width:629.3pt;mso-position-horizontal:center;mso-position-horizontal-relative:margin;mso-position-vertical:center;mso-position-vertical-relative:margin;rotation:-2949120f;z-index:-251656192;mso-width-relative:page;mso-height-relative:page;" fillcolor="#C0C0C0" filled="t" stroked="f" coordsize="21600,21600" adj="10800">
          <v:path/>
          <v:fill on="t" opacity="32768f" focussize="0,0"/>
          <v:stroke on="f"/>
          <v:imagedata o:title=""/>
          <o:lock v:ext="edit" aspectratio="t"/>
          <v:textpath on="t" fitshape="t" fitpath="t" trim="t" xscale="f" string="CHCA中国公路建设行业协会" style="font-family:仿宋_GB2312;font-size:36pt;v-same-letter-heights:f;v-text-align:center;"/>
        </v:shape>
      </w:pict>
    </w:r>
    <w:r>
      <w:rPr>
        <w:rFonts w:hint="eastAsia" w:ascii="黑体" w:hAnsi="黑体" w:eastAsia="黑体" w:cs="黑体"/>
      </w:rPr>
      <w:t>202</w:t>
    </w:r>
    <w:r>
      <w:rPr>
        <w:rFonts w:hint="eastAsia" w:ascii="黑体" w:hAnsi="黑体" w:eastAsia="黑体" w:cs="黑体"/>
        <w:lang w:val="en-US" w:eastAsia="zh-CN"/>
      </w:rPr>
      <w:t>1</w:t>
    </w:r>
    <w:r>
      <w:rPr>
        <w:rFonts w:hint="eastAsia" w:ascii="黑体" w:hAnsi="黑体" w:eastAsia="黑体" w:cs="黑体"/>
      </w:rPr>
      <w:t>年度交通建设“微创新”成果展示</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hMWY5MjI2ZDJjZDYwYjVlNzgwMmQ0MGRkNzYwODkifQ=="/>
  </w:docVars>
  <w:rsids>
    <w:rsidRoot w:val="44DE38B5"/>
    <w:rsid w:val="000847F3"/>
    <w:rsid w:val="0015012C"/>
    <w:rsid w:val="001537E7"/>
    <w:rsid w:val="00155F9B"/>
    <w:rsid w:val="001B27F7"/>
    <w:rsid w:val="00201929"/>
    <w:rsid w:val="00206296"/>
    <w:rsid w:val="002F167F"/>
    <w:rsid w:val="0036777E"/>
    <w:rsid w:val="004F57D1"/>
    <w:rsid w:val="00647B9B"/>
    <w:rsid w:val="006A3861"/>
    <w:rsid w:val="006C1812"/>
    <w:rsid w:val="006C759E"/>
    <w:rsid w:val="007057F7"/>
    <w:rsid w:val="007233D3"/>
    <w:rsid w:val="007F2002"/>
    <w:rsid w:val="00824914"/>
    <w:rsid w:val="00846B1E"/>
    <w:rsid w:val="0090616A"/>
    <w:rsid w:val="009A4C1A"/>
    <w:rsid w:val="009A790A"/>
    <w:rsid w:val="00A94061"/>
    <w:rsid w:val="00AB0D38"/>
    <w:rsid w:val="00AB2997"/>
    <w:rsid w:val="00B52E77"/>
    <w:rsid w:val="00BB7F88"/>
    <w:rsid w:val="00BC1675"/>
    <w:rsid w:val="00CC2B55"/>
    <w:rsid w:val="00D53862"/>
    <w:rsid w:val="00DA690A"/>
    <w:rsid w:val="00DD1A7D"/>
    <w:rsid w:val="00DE7DEA"/>
    <w:rsid w:val="00EA7C4B"/>
    <w:rsid w:val="00FC3C5E"/>
    <w:rsid w:val="05E66775"/>
    <w:rsid w:val="07AA1F88"/>
    <w:rsid w:val="0A96278F"/>
    <w:rsid w:val="0D49663A"/>
    <w:rsid w:val="0E9B0EE5"/>
    <w:rsid w:val="0EEC5DA1"/>
    <w:rsid w:val="0F3166BA"/>
    <w:rsid w:val="0FC70384"/>
    <w:rsid w:val="10D91F69"/>
    <w:rsid w:val="12D009BC"/>
    <w:rsid w:val="144D6C44"/>
    <w:rsid w:val="164474E4"/>
    <w:rsid w:val="16804FD6"/>
    <w:rsid w:val="18BB2A73"/>
    <w:rsid w:val="19184FEE"/>
    <w:rsid w:val="1A9116DB"/>
    <w:rsid w:val="1B8B65A8"/>
    <w:rsid w:val="1BA050D2"/>
    <w:rsid w:val="1C5E7C04"/>
    <w:rsid w:val="1D4F301A"/>
    <w:rsid w:val="1F01392E"/>
    <w:rsid w:val="21FC1C07"/>
    <w:rsid w:val="23DA0054"/>
    <w:rsid w:val="240466DC"/>
    <w:rsid w:val="245E0E03"/>
    <w:rsid w:val="252A4CBA"/>
    <w:rsid w:val="26E617A1"/>
    <w:rsid w:val="2796294B"/>
    <w:rsid w:val="27DF20EF"/>
    <w:rsid w:val="281B4728"/>
    <w:rsid w:val="29004B2D"/>
    <w:rsid w:val="2A1942FF"/>
    <w:rsid w:val="2A28776A"/>
    <w:rsid w:val="2A4F3444"/>
    <w:rsid w:val="2BAB03CF"/>
    <w:rsid w:val="2C160718"/>
    <w:rsid w:val="2CC72414"/>
    <w:rsid w:val="2DB74531"/>
    <w:rsid w:val="2DE252E9"/>
    <w:rsid w:val="2E4F0C34"/>
    <w:rsid w:val="2FC127BE"/>
    <w:rsid w:val="30D20F4E"/>
    <w:rsid w:val="33D2657B"/>
    <w:rsid w:val="3509357D"/>
    <w:rsid w:val="35431E90"/>
    <w:rsid w:val="35496C49"/>
    <w:rsid w:val="37152903"/>
    <w:rsid w:val="374C7490"/>
    <w:rsid w:val="37DD407E"/>
    <w:rsid w:val="38DE08C5"/>
    <w:rsid w:val="39282A8A"/>
    <w:rsid w:val="39673D33"/>
    <w:rsid w:val="3AC77F71"/>
    <w:rsid w:val="3BCC0E66"/>
    <w:rsid w:val="3BD34656"/>
    <w:rsid w:val="3D217ABE"/>
    <w:rsid w:val="3E18718B"/>
    <w:rsid w:val="3F92266E"/>
    <w:rsid w:val="401716E8"/>
    <w:rsid w:val="41780276"/>
    <w:rsid w:val="42F85996"/>
    <w:rsid w:val="43511AA8"/>
    <w:rsid w:val="43D34118"/>
    <w:rsid w:val="448D0F53"/>
    <w:rsid w:val="44DE38B5"/>
    <w:rsid w:val="46765F73"/>
    <w:rsid w:val="46F9221A"/>
    <w:rsid w:val="47730927"/>
    <w:rsid w:val="48EE4383"/>
    <w:rsid w:val="4A41440D"/>
    <w:rsid w:val="4DE1130A"/>
    <w:rsid w:val="4E1D7A69"/>
    <w:rsid w:val="4EA61DB4"/>
    <w:rsid w:val="4FCD2534"/>
    <w:rsid w:val="5709702F"/>
    <w:rsid w:val="5814240D"/>
    <w:rsid w:val="59EC4EE4"/>
    <w:rsid w:val="5D074DE8"/>
    <w:rsid w:val="5FB9551D"/>
    <w:rsid w:val="61B92F94"/>
    <w:rsid w:val="63D15422"/>
    <w:rsid w:val="644D659F"/>
    <w:rsid w:val="66F72BC3"/>
    <w:rsid w:val="684725D9"/>
    <w:rsid w:val="692340AF"/>
    <w:rsid w:val="69A85122"/>
    <w:rsid w:val="6B4677C2"/>
    <w:rsid w:val="6B9A27C3"/>
    <w:rsid w:val="6E08300B"/>
    <w:rsid w:val="703C7978"/>
    <w:rsid w:val="71663954"/>
    <w:rsid w:val="71DB5478"/>
    <w:rsid w:val="71E013C2"/>
    <w:rsid w:val="73B53D31"/>
    <w:rsid w:val="73BF4748"/>
    <w:rsid w:val="747F3B60"/>
    <w:rsid w:val="758374EC"/>
    <w:rsid w:val="7719666B"/>
    <w:rsid w:val="79254F87"/>
    <w:rsid w:val="796F0760"/>
    <w:rsid w:val="7A155EA4"/>
    <w:rsid w:val="7A8A280C"/>
    <w:rsid w:val="7CC4758A"/>
    <w:rsid w:val="7DAB5041"/>
    <w:rsid w:val="7E0043A1"/>
    <w:rsid w:val="7E45302F"/>
    <w:rsid w:val="7E7612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style>
  <w:style w:type="paragraph" w:styleId="3">
    <w:name w:val="Body Text"/>
    <w:basedOn w:val="1"/>
    <w:qFormat/>
    <w:uiPriority w:val="99"/>
    <w:pPr>
      <w:spacing w:after="120"/>
      <w:ind w:firstLine="200"/>
    </w:pPr>
  </w:style>
  <w:style w:type="paragraph" w:styleId="4">
    <w:name w:val="Body Text Indent"/>
    <w:basedOn w:val="1"/>
    <w:qFormat/>
    <w:uiPriority w:val="0"/>
    <w:pPr>
      <w:spacing w:after="120" w:afterLines="0" w:afterAutospacing="0"/>
      <w:ind w:left="420" w:leftChars="200"/>
    </w:pPr>
  </w:style>
  <w:style w:type="paragraph" w:styleId="5">
    <w:name w:val="Balloon Text"/>
    <w:basedOn w:val="1"/>
    <w:link w:val="10"/>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10">
    <w:name w:val="批注框文本 Char"/>
    <w:basedOn w:val="9"/>
    <w:link w:val="5"/>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1794</Words>
  <Characters>1819</Characters>
  <Lines>10</Lines>
  <Paragraphs>3</Paragraphs>
  <TotalTime>2</TotalTime>
  <ScaleCrop>false</ScaleCrop>
  <LinksUpToDate>false</LinksUpToDate>
  <CharactersWithSpaces>1821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2021-06-02T06:49:00Z</dcterms:created>
  <dc:creator>anda</dc:creator>
  <cp:lastModifiedBy>叫一声  佛祖</cp:lastModifiedBy>
  <dcterms:modified xsi:type="dcterms:W3CDTF">2022-10-20T06:55:58Z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977B52CDCA6F4FF7A9EE28395DC7926F</vt:lpwstr>
  </property>
</Properties>
</file>